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634C" w14:textId="0AA0DB5C" w:rsidR="00CE3330" w:rsidRPr="000A0093" w:rsidRDefault="002F77C5" w:rsidP="00F82B07">
      <w:pPr>
        <w:spacing w:line="240" w:lineRule="auto"/>
        <w:jc w:val="center"/>
        <w:rPr>
          <w:b/>
        </w:rPr>
      </w:pPr>
      <w:r w:rsidRPr="000A0093">
        <w:rPr>
          <w:b/>
        </w:rPr>
        <w:t xml:space="preserve">Análise empírica dos determinantes dos fluxos de capitais financeiros para os países </w:t>
      </w:r>
      <w:r w:rsidR="00E1579C">
        <w:rPr>
          <w:b/>
        </w:rPr>
        <w:t>em desenvolvimento</w:t>
      </w:r>
      <w:r w:rsidR="00480E6A">
        <w:rPr>
          <w:b/>
        </w:rPr>
        <w:t xml:space="preserve"> no contexto da globalização financeira</w:t>
      </w:r>
      <w:r w:rsidRPr="000A0093">
        <w:rPr>
          <w:b/>
        </w:rPr>
        <w:t xml:space="preserve"> </w:t>
      </w:r>
    </w:p>
    <w:p w14:paraId="3E742F34" w14:textId="77777777" w:rsidR="00CE3330" w:rsidRPr="000A0093" w:rsidRDefault="00CE3330" w:rsidP="00F82B07">
      <w:pPr>
        <w:spacing w:line="240" w:lineRule="auto"/>
        <w:jc w:val="center"/>
        <w:rPr>
          <w:b/>
        </w:rPr>
      </w:pPr>
    </w:p>
    <w:p w14:paraId="6356ADD2" w14:textId="77777777" w:rsidR="00CE3330" w:rsidRPr="000A0093" w:rsidRDefault="00CE3330" w:rsidP="000C5DB6">
      <w:pPr>
        <w:spacing w:line="240" w:lineRule="auto"/>
        <w:rPr>
          <w:b/>
        </w:rPr>
      </w:pPr>
    </w:p>
    <w:p w14:paraId="0F572BA8" w14:textId="77777777" w:rsidR="00CE3330" w:rsidRPr="000A0093" w:rsidRDefault="00CE3330" w:rsidP="00F82B07">
      <w:pPr>
        <w:spacing w:line="240" w:lineRule="auto"/>
        <w:jc w:val="center"/>
        <w:rPr>
          <w:b/>
        </w:rPr>
      </w:pPr>
    </w:p>
    <w:p w14:paraId="1E3281C2" w14:textId="77777777" w:rsidR="00367569" w:rsidRPr="000A0093" w:rsidRDefault="00367569" w:rsidP="00F82B07">
      <w:pPr>
        <w:spacing w:line="240" w:lineRule="auto"/>
        <w:jc w:val="center"/>
        <w:rPr>
          <w:b/>
        </w:rPr>
      </w:pPr>
    </w:p>
    <w:p w14:paraId="12A8AC06" w14:textId="6ADC1B43" w:rsidR="002F77C5" w:rsidRPr="000A0093" w:rsidRDefault="00E67FC0" w:rsidP="00F82B07">
      <w:pPr>
        <w:spacing w:line="240" w:lineRule="auto"/>
        <w:jc w:val="center"/>
      </w:pPr>
      <w:r>
        <w:t>Autor 1</w:t>
      </w:r>
      <w:r w:rsidR="002F77C5" w:rsidRPr="000A0093">
        <w:rPr>
          <w:rStyle w:val="Refdenotaderodap"/>
        </w:rPr>
        <w:footnoteReference w:id="1"/>
      </w:r>
    </w:p>
    <w:p w14:paraId="6BDC0CA9" w14:textId="343EB64B" w:rsidR="002F77C5" w:rsidRPr="000A0093" w:rsidRDefault="00E67FC0" w:rsidP="00F82B07">
      <w:pPr>
        <w:spacing w:line="240" w:lineRule="auto"/>
        <w:jc w:val="center"/>
      </w:pPr>
      <w:r>
        <w:t>Autor 2</w:t>
      </w:r>
      <w:r w:rsidR="002F77C5" w:rsidRPr="000A0093">
        <w:rPr>
          <w:rStyle w:val="Refdenotaderodap"/>
        </w:rPr>
        <w:footnoteReference w:id="2"/>
      </w:r>
    </w:p>
    <w:p w14:paraId="73DEAF38" w14:textId="77777777" w:rsidR="00CE3330" w:rsidRPr="000A0093" w:rsidRDefault="00CE3330" w:rsidP="00F82B07">
      <w:pPr>
        <w:spacing w:line="240" w:lineRule="auto"/>
      </w:pPr>
    </w:p>
    <w:p w14:paraId="40F4F30D" w14:textId="77777777" w:rsidR="00CE3330" w:rsidRPr="000A0093" w:rsidRDefault="00CE3330" w:rsidP="00F82B07">
      <w:pPr>
        <w:spacing w:line="240" w:lineRule="auto"/>
      </w:pPr>
    </w:p>
    <w:p w14:paraId="101D0F5E" w14:textId="77777777" w:rsidR="00CE3330" w:rsidRPr="000A0093" w:rsidRDefault="00CE3330" w:rsidP="00F82B07">
      <w:pPr>
        <w:spacing w:line="240" w:lineRule="auto"/>
      </w:pPr>
    </w:p>
    <w:p w14:paraId="45E3543A" w14:textId="77777777" w:rsidR="00CE3330" w:rsidRPr="000A0093" w:rsidRDefault="00CE3330" w:rsidP="00F82B07">
      <w:pPr>
        <w:spacing w:line="240" w:lineRule="auto"/>
      </w:pPr>
    </w:p>
    <w:p w14:paraId="3D230F0F" w14:textId="77777777" w:rsidR="00672567" w:rsidRPr="000A0093" w:rsidRDefault="00672567" w:rsidP="00F82B07">
      <w:pPr>
        <w:tabs>
          <w:tab w:val="left" w:pos="3709"/>
        </w:tabs>
        <w:spacing w:line="240" w:lineRule="auto"/>
        <w:rPr>
          <w:b/>
        </w:rPr>
      </w:pPr>
    </w:p>
    <w:p w14:paraId="05059210" w14:textId="77777777" w:rsidR="00470860" w:rsidRPr="000A0093" w:rsidRDefault="00470860" w:rsidP="00F82B07">
      <w:pPr>
        <w:spacing w:line="240" w:lineRule="auto"/>
        <w:rPr>
          <w:b/>
          <w:shd w:val="clear" w:color="auto" w:fill="FFFFFF"/>
        </w:rPr>
      </w:pPr>
      <w:r w:rsidRPr="000A0093">
        <w:rPr>
          <w:b/>
          <w:bCs/>
          <w:shd w:val="clear" w:color="auto" w:fill="FFFFFF"/>
        </w:rPr>
        <w:t>Resumo</w:t>
      </w:r>
    </w:p>
    <w:p w14:paraId="41C11A99" w14:textId="31D54A94" w:rsidR="00470860" w:rsidRPr="000A0093" w:rsidRDefault="009201E2" w:rsidP="00F82B07">
      <w:pPr>
        <w:spacing w:line="240" w:lineRule="auto"/>
      </w:pPr>
      <w:r w:rsidRPr="000A0093">
        <w:t xml:space="preserve">Este artigo </w:t>
      </w:r>
      <w:r w:rsidR="00470860" w:rsidRPr="000A0093">
        <w:t xml:space="preserve">pretende dar uma contribuição à literatura empírica sobre os determinantes dos fluxos de capitais </w:t>
      </w:r>
      <w:r w:rsidR="004302D3" w:rsidRPr="000A0093">
        <w:t xml:space="preserve">de natureza financeira direcionados </w:t>
      </w:r>
      <w:r w:rsidR="00470860" w:rsidRPr="000A0093">
        <w:t xml:space="preserve">aos países em desenvolvimento por meio de um modelo econométrico de dados em painel com a utilização </w:t>
      </w:r>
      <w:r w:rsidR="00BF27DD">
        <w:t>do</w:t>
      </w:r>
      <w:r w:rsidR="00470860" w:rsidRPr="000A0093">
        <w:t xml:space="preserve"> </w:t>
      </w:r>
      <w:r w:rsidR="00074B4C">
        <w:t>método dos momentos generalizados-sistema (MMG-S)</w:t>
      </w:r>
      <w:r w:rsidR="00470860" w:rsidRPr="000A0093">
        <w:t xml:space="preserve">. Os resultados obtidos </w:t>
      </w:r>
      <w:r w:rsidR="004302D3" w:rsidRPr="000A0093">
        <w:t xml:space="preserve">corroboram </w:t>
      </w:r>
      <w:r w:rsidR="00470860" w:rsidRPr="000A0093">
        <w:t>os estudos anteriores que apontam para um predomínio dos fatores externos sobre os internos na determinação d</w:t>
      </w:r>
      <w:r w:rsidR="00D4749A">
        <w:t>esses fluxos</w:t>
      </w:r>
      <w:r w:rsidR="00470860" w:rsidRPr="000A0093">
        <w:t xml:space="preserve">. Merece destaque o indicador de volatilidade VIX CBOE, o qual </w:t>
      </w:r>
      <w:r w:rsidR="00404DF8">
        <w:t xml:space="preserve">pode ser interpretado, </w:t>
      </w:r>
      <w:r w:rsidR="00BA5F39">
        <w:t xml:space="preserve">a partir de uma </w:t>
      </w:r>
      <w:r w:rsidR="00404DF8">
        <w:t xml:space="preserve">perspectiva </w:t>
      </w:r>
      <w:r w:rsidR="00E06688">
        <w:t>pós-</w:t>
      </w:r>
      <w:proofErr w:type="spellStart"/>
      <w:r w:rsidR="00404DF8">
        <w:t>keynesiana</w:t>
      </w:r>
      <w:proofErr w:type="spellEnd"/>
      <w:r w:rsidR="00404DF8">
        <w:t xml:space="preserve">, como um indicador de preferência por liquidez. </w:t>
      </w:r>
      <w:r w:rsidR="00E74698">
        <w:t xml:space="preserve">Nos testes que relacionaram a </w:t>
      </w:r>
      <w:proofErr w:type="spellStart"/>
      <w:r w:rsidR="00E74698" w:rsidRPr="00E74698">
        <w:rPr>
          <w:i/>
        </w:rPr>
        <w:t>dummy</w:t>
      </w:r>
      <w:proofErr w:type="spellEnd"/>
      <w:r w:rsidR="00E74698">
        <w:t xml:space="preserve"> para os anos de crise com as variáveis internas, as variáveis reservas sobre o endividamento externo e déficit em transações correntes sobre o PIB se mostraram estatisticamente significativas, sendo que a primeira </w:t>
      </w:r>
      <w:r w:rsidR="00BA5F39">
        <w:t>atenuou</w:t>
      </w:r>
      <w:r w:rsidR="00E74698">
        <w:t xml:space="preserve">, enquanto a segunda acentuou o impacto das crises. </w:t>
      </w:r>
    </w:p>
    <w:p w14:paraId="28262E8F" w14:textId="77777777" w:rsidR="00470860" w:rsidRPr="000A0093" w:rsidRDefault="00470860" w:rsidP="00F82B07">
      <w:pPr>
        <w:spacing w:line="240" w:lineRule="auto"/>
        <w:rPr>
          <w:b/>
        </w:rPr>
      </w:pPr>
    </w:p>
    <w:p w14:paraId="5BD4E8A8" w14:textId="249D8324" w:rsidR="00470860" w:rsidRPr="000A0093" w:rsidRDefault="00470860" w:rsidP="00F82B07">
      <w:pPr>
        <w:spacing w:line="240" w:lineRule="auto"/>
      </w:pPr>
      <w:r w:rsidRPr="000A0093">
        <w:rPr>
          <w:b/>
        </w:rPr>
        <w:t>Palavras-chave</w:t>
      </w:r>
      <w:r w:rsidRPr="000A0093">
        <w:t>: sistema monetário e financeiro internacional; fluxos de capitais; países em desenvolvimento; dados em painel</w:t>
      </w:r>
      <w:r w:rsidR="00DC275E">
        <w:t>; MMG-S</w:t>
      </w:r>
      <w:r w:rsidRPr="000A0093">
        <w:t>.</w:t>
      </w:r>
    </w:p>
    <w:p w14:paraId="11EE6487" w14:textId="77777777" w:rsidR="00CE3330" w:rsidRPr="000A0093" w:rsidRDefault="00CE3330" w:rsidP="00F82B07">
      <w:pPr>
        <w:spacing w:line="240" w:lineRule="auto"/>
      </w:pPr>
    </w:p>
    <w:p w14:paraId="01934D50" w14:textId="77777777" w:rsidR="007174A9" w:rsidRPr="000A0093" w:rsidRDefault="007174A9" w:rsidP="00F82B07">
      <w:pPr>
        <w:spacing w:line="240" w:lineRule="auto"/>
        <w:rPr>
          <w:b/>
          <w:u w:val="single"/>
          <w:shd w:val="clear" w:color="auto" w:fill="FFFFFF"/>
        </w:rPr>
      </w:pPr>
    </w:p>
    <w:p w14:paraId="0B09A75E" w14:textId="77777777" w:rsidR="00CE3330" w:rsidRPr="000A0093" w:rsidRDefault="00CE3330" w:rsidP="00F82B07">
      <w:pPr>
        <w:spacing w:line="240" w:lineRule="auto"/>
        <w:rPr>
          <w:b/>
          <w:u w:val="single"/>
          <w:shd w:val="clear" w:color="auto" w:fill="FFFFFF"/>
        </w:rPr>
      </w:pPr>
    </w:p>
    <w:p w14:paraId="0C66888F" w14:textId="77777777" w:rsidR="00470860" w:rsidRPr="000A0093" w:rsidRDefault="00470860" w:rsidP="00F82B07">
      <w:pPr>
        <w:spacing w:line="240" w:lineRule="auto"/>
        <w:rPr>
          <w:b/>
          <w:shd w:val="clear" w:color="auto" w:fill="FFFFFF"/>
          <w:lang w:val="en-US"/>
        </w:rPr>
      </w:pPr>
      <w:r w:rsidRPr="000A0093">
        <w:rPr>
          <w:b/>
          <w:shd w:val="clear" w:color="auto" w:fill="FFFFFF"/>
          <w:lang w:val="en-US"/>
        </w:rPr>
        <w:t>Abstract</w:t>
      </w:r>
    </w:p>
    <w:p w14:paraId="70A38190" w14:textId="5E9AE555" w:rsidR="00470860" w:rsidRDefault="00470860" w:rsidP="00F82B07">
      <w:pPr>
        <w:spacing w:line="240" w:lineRule="auto"/>
        <w:rPr>
          <w:lang w:val="en-US"/>
        </w:rPr>
      </w:pPr>
      <w:r w:rsidRPr="000A0093">
        <w:rPr>
          <w:lang w:val="en-US"/>
        </w:rPr>
        <w:t xml:space="preserve">This </w:t>
      </w:r>
      <w:r w:rsidR="009201E2" w:rsidRPr="000A0093">
        <w:rPr>
          <w:lang w:val="en-US"/>
        </w:rPr>
        <w:t>article</w:t>
      </w:r>
      <w:r w:rsidRPr="000A0093">
        <w:rPr>
          <w:lang w:val="en-US"/>
        </w:rPr>
        <w:t xml:space="preserve"> aims </w:t>
      </w:r>
      <w:r w:rsidR="00BA5F39">
        <w:rPr>
          <w:lang w:val="en-US"/>
        </w:rPr>
        <w:t xml:space="preserve">to </w:t>
      </w:r>
      <w:r w:rsidR="00C427E2">
        <w:rPr>
          <w:lang w:val="en-US"/>
        </w:rPr>
        <w:t>contribute</w:t>
      </w:r>
      <w:r w:rsidRPr="000A0093">
        <w:rPr>
          <w:lang w:val="en-US"/>
        </w:rPr>
        <w:t xml:space="preserve"> to the empirical literature on the determinants of </w:t>
      </w:r>
      <w:r w:rsidR="003A1B5A">
        <w:rPr>
          <w:lang w:val="en-US"/>
        </w:rPr>
        <w:t xml:space="preserve">financial </w:t>
      </w:r>
      <w:r w:rsidRPr="000A0093">
        <w:rPr>
          <w:lang w:val="en-US"/>
        </w:rPr>
        <w:t xml:space="preserve">capital flows to </w:t>
      </w:r>
      <w:r w:rsidRPr="003A1B5A">
        <w:rPr>
          <w:lang w:val="en-US"/>
        </w:rPr>
        <w:t>developing countries</w:t>
      </w:r>
      <w:r w:rsidRPr="000A0093">
        <w:rPr>
          <w:lang w:val="en-US"/>
        </w:rPr>
        <w:t xml:space="preserve"> using an econometric panel data model with </w:t>
      </w:r>
      <w:r w:rsidR="00E06688">
        <w:rPr>
          <w:lang w:val="en-US"/>
        </w:rPr>
        <w:t>generalized method of moments</w:t>
      </w:r>
      <w:r w:rsidR="00074B4C">
        <w:rPr>
          <w:lang w:val="en-US"/>
        </w:rPr>
        <w:t>-system (GMM-S)</w:t>
      </w:r>
      <w:r w:rsidR="00E06688">
        <w:rPr>
          <w:lang w:val="en-US"/>
        </w:rPr>
        <w:t>. As in former studies, t</w:t>
      </w:r>
      <w:r w:rsidRPr="000A0093">
        <w:rPr>
          <w:lang w:val="en-US"/>
        </w:rPr>
        <w:t xml:space="preserve">he results showed </w:t>
      </w:r>
      <w:r w:rsidR="00226641">
        <w:rPr>
          <w:lang w:val="en-US"/>
        </w:rPr>
        <w:t>the</w:t>
      </w:r>
      <w:r w:rsidRPr="000A0093">
        <w:rPr>
          <w:lang w:val="en-US"/>
        </w:rPr>
        <w:t xml:space="preserve"> predominance of external factors over internal ones in determining capital flows. </w:t>
      </w:r>
      <w:r w:rsidR="00E06688">
        <w:rPr>
          <w:lang w:val="en-US"/>
        </w:rPr>
        <w:t xml:space="preserve">It is </w:t>
      </w:r>
      <w:r w:rsidRPr="000A0093">
        <w:rPr>
          <w:lang w:val="en-US"/>
        </w:rPr>
        <w:t xml:space="preserve">noteworthy the CBOE VIX volatility indicator, which showed significant and with the expected sign on the </w:t>
      </w:r>
      <w:r w:rsidR="00380149" w:rsidRPr="000A0093">
        <w:rPr>
          <w:lang w:val="en-US"/>
        </w:rPr>
        <w:t>eleven</w:t>
      </w:r>
      <w:r w:rsidRPr="000A0093">
        <w:rPr>
          <w:lang w:val="en-US"/>
        </w:rPr>
        <w:t xml:space="preserve"> tested equations.</w:t>
      </w:r>
      <w:r w:rsidR="00E06688">
        <w:rPr>
          <w:lang w:val="en-US"/>
        </w:rPr>
        <w:t xml:space="preserve"> According to the post-Keynesian perspective adopted in this paper, this indicator could be interpreted as an indicator of the liquidity preference of private agents.</w:t>
      </w:r>
      <w:r w:rsidR="00DC275E">
        <w:rPr>
          <w:lang w:val="en-US"/>
        </w:rPr>
        <w:t xml:space="preserve"> </w:t>
      </w:r>
      <w:r w:rsidR="00DC275E" w:rsidRPr="00DC275E">
        <w:rPr>
          <w:lang w:val="en-US"/>
        </w:rPr>
        <w:t>In tests relating to dummy for the years of crisis with the internal variables, the variables reservations about the external debt and current account deficit over GDP were statistically significant, with the first attenuated, while the second emphasized the impact of crisis .</w:t>
      </w:r>
    </w:p>
    <w:p w14:paraId="25DCD9D5" w14:textId="77777777" w:rsidR="00DC275E" w:rsidRPr="000A0093" w:rsidRDefault="00DC275E" w:rsidP="00F82B07">
      <w:pPr>
        <w:spacing w:line="240" w:lineRule="auto"/>
        <w:rPr>
          <w:lang w:val="en-US"/>
        </w:rPr>
      </w:pPr>
    </w:p>
    <w:p w14:paraId="4BAE56EA" w14:textId="7214803D" w:rsidR="00470860" w:rsidRPr="000A0093" w:rsidRDefault="00470860" w:rsidP="00F82B07">
      <w:pPr>
        <w:spacing w:line="240" w:lineRule="auto"/>
        <w:rPr>
          <w:lang w:val="en-US"/>
        </w:rPr>
      </w:pPr>
      <w:r w:rsidRPr="000A0093">
        <w:rPr>
          <w:b/>
          <w:lang w:val="en-US"/>
        </w:rPr>
        <w:t>Key words</w:t>
      </w:r>
      <w:r w:rsidRPr="000A0093">
        <w:rPr>
          <w:lang w:val="en-US"/>
        </w:rPr>
        <w:t>: International monetary and financial system; capital flows; develop</w:t>
      </w:r>
      <w:r w:rsidR="00DC275E">
        <w:rPr>
          <w:lang w:val="en-US"/>
        </w:rPr>
        <w:t>ing countries; panel data model; GMM-S.</w:t>
      </w:r>
    </w:p>
    <w:p w14:paraId="7A493488" w14:textId="77777777" w:rsidR="00367569" w:rsidRPr="000A0093" w:rsidRDefault="00367569" w:rsidP="00F82B07">
      <w:pPr>
        <w:tabs>
          <w:tab w:val="left" w:pos="3709"/>
        </w:tabs>
        <w:spacing w:line="240" w:lineRule="auto"/>
        <w:rPr>
          <w:b/>
          <w:lang w:val="en-US"/>
        </w:rPr>
      </w:pPr>
    </w:p>
    <w:p w14:paraId="65714A54" w14:textId="77777777" w:rsidR="007B576A" w:rsidRPr="000A0093" w:rsidRDefault="007B576A" w:rsidP="00F82B07">
      <w:pPr>
        <w:spacing w:line="240" w:lineRule="auto"/>
        <w:rPr>
          <w:rFonts w:eastAsiaTheme="minorEastAsia"/>
          <w:bCs/>
          <w:i/>
          <w:lang w:eastAsia="pt-BR"/>
        </w:rPr>
      </w:pPr>
      <w:r w:rsidRPr="000A0093">
        <w:rPr>
          <w:rFonts w:eastAsiaTheme="minorEastAsia"/>
          <w:b/>
          <w:bCs/>
          <w:lang w:eastAsia="pt-BR"/>
        </w:rPr>
        <w:t>Classificação JEL</w:t>
      </w:r>
      <w:r w:rsidRPr="000A0093">
        <w:rPr>
          <w:rFonts w:eastAsiaTheme="minorEastAsia"/>
          <w:bCs/>
          <w:lang w:eastAsia="pt-BR"/>
        </w:rPr>
        <w:t xml:space="preserve">: </w:t>
      </w:r>
      <w:r w:rsidR="00731D08" w:rsidRPr="000A0093">
        <w:rPr>
          <w:rFonts w:eastAsiaTheme="minorEastAsia"/>
          <w:bCs/>
          <w:lang w:eastAsia="pt-BR"/>
        </w:rPr>
        <w:t>C33, F32</w:t>
      </w:r>
    </w:p>
    <w:p w14:paraId="463D5B59" w14:textId="77777777" w:rsidR="00C61255" w:rsidRPr="000A0093" w:rsidRDefault="00C61255" w:rsidP="00FC2664">
      <w:pPr>
        <w:tabs>
          <w:tab w:val="left" w:pos="3709"/>
        </w:tabs>
        <w:spacing w:line="480" w:lineRule="auto"/>
        <w:rPr>
          <w:b/>
        </w:rPr>
      </w:pPr>
    </w:p>
    <w:p w14:paraId="3AE62F36" w14:textId="77777777" w:rsidR="00CE3330" w:rsidRPr="000A0093" w:rsidRDefault="00CE3330" w:rsidP="00FC2664">
      <w:pPr>
        <w:tabs>
          <w:tab w:val="left" w:pos="3709"/>
        </w:tabs>
        <w:spacing w:line="480" w:lineRule="auto"/>
        <w:rPr>
          <w:b/>
        </w:rPr>
      </w:pPr>
    </w:p>
    <w:p w14:paraId="2BAE0834" w14:textId="77777777" w:rsidR="00367569" w:rsidRPr="000A0093" w:rsidRDefault="00367569" w:rsidP="00FC2664">
      <w:pPr>
        <w:pStyle w:val="Ttulo2"/>
        <w:spacing w:before="0" w:line="480" w:lineRule="auto"/>
        <w:rPr>
          <w:color w:val="auto"/>
        </w:rPr>
      </w:pPr>
      <w:r w:rsidRPr="000A0093">
        <w:rPr>
          <w:color w:val="auto"/>
        </w:rPr>
        <w:lastRenderedPageBreak/>
        <w:t>Introdução</w:t>
      </w:r>
    </w:p>
    <w:p w14:paraId="7BBA1323" w14:textId="451105C8" w:rsidR="0020506B" w:rsidRPr="0020506B" w:rsidRDefault="009B7471" w:rsidP="0020506B">
      <w:pPr>
        <w:spacing w:line="480" w:lineRule="auto"/>
        <w:ind w:firstLine="851"/>
        <w:rPr>
          <w:bCs/>
        </w:rPr>
      </w:pPr>
      <w:r>
        <w:t xml:space="preserve">O presente trabalho tem como principal </w:t>
      </w:r>
      <w:r w:rsidRPr="00325444">
        <w:t>objetivo dar uma contribuição à literatura empírica sobre os determinantes dos fluxos de capitais de natureza financeira (investimentos de portfólio e empréstimos bancários)</w:t>
      </w:r>
      <w:r>
        <w:t xml:space="preserve"> </w:t>
      </w:r>
      <w:r w:rsidR="00043550">
        <w:t xml:space="preserve">por meio de testes com base no método dos </w:t>
      </w:r>
      <w:r w:rsidR="00F65D17">
        <w:t>m</w:t>
      </w:r>
      <w:r>
        <w:t>omen</w:t>
      </w:r>
      <w:r w:rsidR="00043550">
        <w:t>tos g</w:t>
      </w:r>
      <w:r>
        <w:t>eneralizados</w:t>
      </w:r>
      <w:r w:rsidR="00043550">
        <w:t xml:space="preserve"> (MMG)</w:t>
      </w:r>
      <w:r>
        <w:t xml:space="preserve">. </w:t>
      </w:r>
      <w:r w:rsidR="001463E0">
        <w:t xml:space="preserve">Adicionalmente, </w:t>
      </w:r>
      <w:proofErr w:type="gramStart"/>
      <w:r w:rsidR="001463E0">
        <w:t>tem-se</w:t>
      </w:r>
      <w:proofErr w:type="gramEnd"/>
      <w:r w:rsidR="001463E0">
        <w:t xml:space="preserve"> os seguintes objetivos específicos: </w:t>
      </w:r>
      <w:r w:rsidR="0020506B" w:rsidRPr="0020506B">
        <w:rPr>
          <w:bCs/>
        </w:rPr>
        <w:t>i) realizar uma síntese da abordagem pós-</w:t>
      </w:r>
      <w:proofErr w:type="spellStart"/>
      <w:r w:rsidR="0020506B" w:rsidRPr="0020506B">
        <w:rPr>
          <w:bCs/>
        </w:rPr>
        <w:t>keynesiana</w:t>
      </w:r>
      <w:proofErr w:type="spellEnd"/>
      <w:r w:rsidR="0020506B" w:rsidRPr="0020506B">
        <w:rPr>
          <w:bCs/>
        </w:rPr>
        <w:t xml:space="preserve"> </w:t>
      </w:r>
      <w:r w:rsidR="00F611A5">
        <w:rPr>
          <w:bCs/>
        </w:rPr>
        <w:t>sobre</w:t>
      </w:r>
      <w:r w:rsidR="0020506B" w:rsidRPr="0020506B">
        <w:rPr>
          <w:bCs/>
        </w:rPr>
        <w:t xml:space="preserve"> a dinâmica dos fluxos de capitais</w:t>
      </w:r>
      <w:r w:rsidR="00F611A5">
        <w:rPr>
          <w:bCs/>
        </w:rPr>
        <w:t xml:space="preserve"> após o colapso do regime de Bretton Woods</w:t>
      </w:r>
      <w:r w:rsidR="0020506B" w:rsidRPr="0020506B">
        <w:rPr>
          <w:bCs/>
        </w:rPr>
        <w:t>, destacando a relação entre essa dinâmica e as características do S</w:t>
      </w:r>
      <w:r w:rsidR="00F611A5">
        <w:rPr>
          <w:bCs/>
        </w:rPr>
        <w:t>istema Monetário e Financeiro Internacional (S</w:t>
      </w:r>
      <w:r w:rsidR="0020506B" w:rsidRPr="0020506B">
        <w:rPr>
          <w:bCs/>
        </w:rPr>
        <w:t>MFI</w:t>
      </w:r>
      <w:r w:rsidR="00F611A5">
        <w:rPr>
          <w:bCs/>
        </w:rPr>
        <w:t>)</w:t>
      </w:r>
      <w:r w:rsidR="0020506B" w:rsidRPr="0020506B">
        <w:rPr>
          <w:bCs/>
        </w:rPr>
        <w:t xml:space="preserve"> contemporâneo; </w:t>
      </w:r>
      <w:proofErr w:type="spellStart"/>
      <w:r w:rsidR="0020506B" w:rsidRPr="0020506B">
        <w:rPr>
          <w:bCs/>
        </w:rPr>
        <w:t>ii</w:t>
      </w:r>
      <w:proofErr w:type="spellEnd"/>
      <w:r w:rsidR="0020506B" w:rsidRPr="0020506B">
        <w:rPr>
          <w:bCs/>
        </w:rPr>
        <w:t>) revisar</w:t>
      </w:r>
      <w:r w:rsidR="00F611A5">
        <w:rPr>
          <w:bCs/>
        </w:rPr>
        <w:t>,</w:t>
      </w:r>
      <w:r w:rsidR="0020506B" w:rsidRPr="0020506B">
        <w:rPr>
          <w:bCs/>
        </w:rPr>
        <w:t xml:space="preserve"> de forma não extensiva, </w:t>
      </w:r>
      <w:r w:rsidR="00F611A5">
        <w:rPr>
          <w:bCs/>
        </w:rPr>
        <w:t>a literatura</w:t>
      </w:r>
      <w:r w:rsidR="0020506B" w:rsidRPr="0020506B">
        <w:rPr>
          <w:bCs/>
        </w:rPr>
        <w:t xml:space="preserve"> empíric</w:t>
      </w:r>
      <w:r w:rsidR="00F611A5">
        <w:rPr>
          <w:bCs/>
        </w:rPr>
        <w:t>a</w:t>
      </w:r>
      <w:r w:rsidR="0020506B" w:rsidRPr="0020506B">
        <w:rPr>
          <w:bCs/>
        </w:rPr>
        <w:t xml:space="preserve"> sobre os determinantes dos fluxos financeiros para os países em desenvolvimento</w:t>
      </w:r>
      <w:r w:rsidR="006D034F" w:rsidRPr="0020506B">
        <w:rPr>
          <w:bCs/>
          <w:vertAlign w:val="superscript"/>
        </w:rPr>
        <w:footnoteReference w:id="3"/>
      </w:r>
      <w:r w:rsidR="0020506B" w:rsidRPr="0020506B">
        <w:rPr>
          <w:bCs/>
        </w:rPr>
        <w:t xml:space="preserve"> após sua inserção no processo de globalização financeira</w:t>
      </w:r>
      <w:r w:rsidR="00F611A5" w:rsidRPr="006D44D5">
        <w:rPr>
          <w:rStyle w:val="Refdenotaderodap"/>
          <w:bCs/>
        </w:rPr>
        <w:footnoteReference w:id="4"/>
      </w:r>
      <w:r w:rsidR="0020506B" w:rsidRPr="0020506B">
        <w:rPr>
          <w:bCs/>
        </w:rPr>
        <w:t xml:space="preserve">; e </w:t>
      </w:r>
      <w:proofErr w:type="spellStart"/>
      <w:r w:rsidR="0020506B" w:rsidRPr="0020506B">
        <w:rPr>
          <w:bCs/>
        </w:rPr>
        <w:t>iii</w:t>
      </w:r>
      <w:proofErr w:type="spellEnd"/>
      <w:r w:rsidR="0020506B" w:rsidRPr="0020506B">
        <w:rPr>
          <w:bCs/>
        </w:rPr>
        <w:t xml:space="preserve">) averiguar quais variáveis classificadas como </w:t>
      </w:r>
      <w:proofErr w:type="spellStart"/>
      <w:r w:rsidR="0020506B" w:rsidRPr="0020506B">
        <w:rPr>
          <w:bCs/>
          <w:i/>
        </w:rPr>
        <w:t>pull-factors</w:t>
      </w:r>
      <w:proofErr w:type="spellEnd"/>
      <w:r w:rsidR="0020506B" w:rsidRPr="0020506B">
        <w:rPr>
          <w:bCs/>
        </w:rPr>
        <w:t xml:space="preserve"> </w:t>
      </w:r>
      <w:r w:rsidR="00F611A5">
        <w:rPr>
          <w:bCs/>
        </w:rPr>
        <w:t xml:space="preserve">(fatores internos) </w:t>
      </w:r>
      <w:r w:rsidR="0020506B" w:rsidRPr="0020506B">
        <w:rPr>
          <w:bCs/>
        </w:rPr>
        <w:t xml:space="preserve">seriam significativas </w:t>
      </w:r>
      <w:r w:rsidR="00F611A5">
        <w:rPr>
          <w:bCs/>
        </w:rPr>
        <w:t xml:space="preserve">na explicação da dinâmica desses </w:t>
      </w:r>
      <w:r w:rsidR="0020506B" w:rsidRPr="0020506B">
        <w:rPr>
          <w:bCs/>
        </w:rPr>
        <w:t>fluxos nos momentos de crise</w:t>
      </w:r>
      <w:r w:rsidR="00FB0D52">
        <w:rPr>
          <w:bCs/>
        </w:rPr>
        <w:t>, em especial, apurar se as reservas servem de atenuante nesses momentos</w:t>
      </w:r>
      <w:r w:rsidR="0020506B">
        <w:rPr>
          <w:bCs/>
        </w:rPr>
        <w:t>.</w:t>
      </w:r>
    </w:p>
    <w:p w14:paraId="4E7D87B5" w14:textId="3A40A4EE" w:rsidR="009B7471" w:rsidRDefault="009B7471" w:rsidP="009B7471">
      <w:pPr>
        <w:spacing w:line="480" w:lineRule="auto"/>
        <w:ind w:firstLine="851"/>
      </w:pPr>
      <w:r>
        <w:t>Esse estudo empírico t</w:t>
      </w:r>
      <w:r w:rsidR="00F65D17">
        <w:t>em</w:t>
      </w:r>
      <w:r>
        <w:t xml:space="preserve"> como embasamento teórico a </w:t>
      </w:r>
      <w:r w:rsidR="00F65D17">
        <w:t xml:space="preserve">abordagem </w:t>
      </w:r>
      <w:r w:rsidR="00E1579C">
        <w:t>pós</w:t>
      </w:r>
      <w:r w:rsidR="00F65D17">
        <w:t>-</w:t>
      </w:r>
      <w:proofErr w:type="spellStart"/>
      <w:r>
        <w:t>keynesiana</w:t>
      </w:r>
      <w:proofErr w:type="spellEnd"/>
      <w:r>
        <w:t xml:space="preserve">, </w:t>
      </w:r>
      <w:r w:rsidR="00F65D17">
        <w:t xml:space="preserve">que </w:t>
      </w:r>
      <w:r>
        <w:t>destaca conceitos centrais para a análise da dinâmica dos fluxos de capitais</w:t>
      </w:r>
      <w:r w:rsidR="00F611A5">
        <w:t xml:space="preserve"> no contexto da globalização financeira</w:t>
      </w:r>
      <w:r>
        <w:t xml:space="preserve">, tais como </w:t>
      </w:r>
      <w:r w:rsidR="00F65D17">
        <w:t xml:space="preserve">a </w:t>
      </w:r>
      <w:r>
        <w:t>incerteza</w:t>
      </w:r>
      <w:r w:rsidR="00DD065A">
        <w:t>,</w:t>
      </w:r>
      <w:r>
        <w:t xml:space="preserve"> </w:t>
      </w:r>
      <w:r w:rsidR="00F65D17">
        <w:t xml:space="preserve">a </w:t>
      </w:r>
      <w:r>
        <w:t>preferência pela liquidez</w:t>
      </w:r>
      <w:r w:rsidR="00DD065A">
        <w:t xml:space="preserve"> e as </w:t>
      </w:r>
      <w:r>
        <w:t>assim</w:t>
      </w:r>
      <w:r w:rsidR="00DD065A">
        <w:t>e</w:t>
      </w:r>
      <w:r>
        <w:t>tria</w:t>
      </w:r>
      <w:r w:rsidR="00DD065A">
        <w:t>s</w:t>
      </w:r>
      <w:r>
        <w:t xml:space="preserve"> do sistema monetário e financeiro internacional (SMFI)</w:t>
      </w:r>
      <w:r w:rsidR="00DD065A">
        <w:t xml:space="preserve"> contemporâneo, que é um arranjo hierarquizado em torno de uma divisa-chave (o dólar fiduciário)</w:t>
      </w:r>
      <w:r>
        <w:t xml:space="preserve">. </w:t>
      </w:r>
    </w:p>
    <w:p w14:paraId="40CC1C45" w14:textId="41AE402C" w:rsidR="00367569" w:rsidRDefault="00367569" w:rsidP="00FC2664">
      <w:pPr>
        <w:spacing w:line="480" w:lineRule="auto"/>
        <w:ind w:firstLine="851"/>
      </w:pPr>
      <w:r w:rsidRPr="00E1579C">
        <w:rPr>
          <w:bCs/>
        </w:rPr>
        <w:t>Ainda há muitas divergências na literatura sobre quais seriam os principais determinantes dos fluxos de capitais para os países em dese</w:t>
      </w:r>
      <w:r w:rsidR="009201E2" w:rsidRPr="00E1579C">
        <w:rPr>
          <w:bCs/>
        </w:rPr>
        <w:t>n</w:t>
      </w:r>
      <w:r w:rsidRPr="00E1579C">
        <w:rPr>
          <w:bCs/>
        </w:rPr>
        <w:t>vo</w:t>
      </w:r>
      <w:r w:rsidR="009201E2" w:rsidRPr="00E1579C">
        <w:rPr>
          <w:bCs/>
        </w:rPr>
        <w:t>l</w:t>
      </w:r>
      <w:r w:rsidRPr="00E1579C">
        <w:rPr>
          <w:bCs/>
        </w:rPr>
        <w:t xml:space="preserve">vimento. </w:t>
      </w:r>
      <w:r w:rsidR="00F53303" w:rsidRPr="00E1579C">
        <w:rPr>
          <w:bCs/>
        </w:rPr>
        <w:t xml:space="preserve"> Essa controvérsia remonta ao início dos anos 1990, quando vários estudos procuraram identificar </w:t>
      </w:r>
      <w:r w:rsidRPr="00E1579C">
        <w:rPr>
          <w:bCs/>
        </w:rPr>
        <w:t>os determinantes da retomada d</w:t>
      </w:r>
      <w:r w:rsidR="00DD065A" w:rsidRPr="00E1579C">
        <w:rPr>
          <w:bCs/>
        </w:rPr>
        <w:t>esses</w:t>
      </w:r>
      <w:r w:rsidRPr="00E1579C">
        <w:rPr>
          <w:bCs/>
        </w:rPr>
        <w:t xml:space="preserve"> </w:t>
      </w:r>
      <w:r w:rsidRPr="00E1579C">
        <w:rPr>
          <w:bCs/>
        </w:rPr>
        <w:lastRenderedPageBreak/>
        <w:t>fluxos de capitais no início dos anos 1999.</w:t>
      </w:r>
      <w:r w:rsidR="00F53303" w:rsidRPr="00E1579C">
        <w:rPr>
          <w:bCs/>
        </w:rPr>
        <w:t xml:space="preserve"> </w:t>
      </w:r>
      <w:r w:rsidRPr="00E1579C">
        <w:rPr>
          <w:bCs/>
        </w:rPr>
        <w:t xml:space="preserve">De acordo com </w:t>
      </w:r>
      <w:proofErr w:type="spellStart"/>
      <w:r w:rsidRPr="00E1579C">
        <w:rPr>
          <w:bCs/>
        </w:rPr>
        <w:t>Isard</w:t>
      </w:r>
      <w:proofErr w:type="spellEnd"/>
      <w:r w:rsidRPr="00E1579C">
        <w:rPr>
          <w:bCs/>
        </w:rPr>
        <w:t xml:space="preserve"> (200</w:t>
      </w:r>
      <w:r w:rsidR="00541DD1" w:rsidRPr="00E1579C">
        <w:rPr>
          <w:bCs/>
        </w:rPr>
        <w:t>5</w:t>
      </w:r>
      <w:r w:rsidRPr="00E1579C">
        <w:rPr>
          <w:bCs/>
        </w:rPr>
        <w:t xml:space="preserve">), o principal motivo para essa retomada </w:t>
      </w:r>
      <w:r w:rsidR="00DD065A" w:rsidRPr="00E1579C">
        <w:rPr>
          <w:bCs/>
        </w:rPr>
        <w:t>teria sido</w:t>
      </w:r>
      <w:r w:rsidRPr="00E1579C">
        <w:rPr>
          <w:bCs/>
        </w:rPr>
        <w:t xml:space="preserve"> a abertura financeira</w:t>
      </w:r>
      <w:r w:rsidR="00E75EE1" w:rsidRPr="00E1579C">
        <w:rPr>
          <w:bCs/>
        </w:rPr>
        <w:t xml:space="preserve"> </w:t>
      </w:r>
      <w:r w:rsidRPr="00E1579C">
        <w:rPr>
          <w:bCs/>
        </w:rPr>
        <w:t xml:space="preserve">desses países </w:t>
      </w:r>
      <w:r w:rsidR="00DD065A" w:rsidRPr="00E1579C">
        <w:rPr>
          <w:bCs/>
        </w:rPr>
        <w:t>a partir d</w:t>
      </w:r>
      <w:r w:rsidRPr="00E1579C">
        <w:rPr>
          <w:bCs/>
        </w:rPr>
        <w:t>o final dos anos 1980</w:t>
      </w:r>
      <w:r w:rsidR="00432FC0" w:rsidRPr="00E1579C">
        <w:rPr>
          <w:bCs/>
        </w:rPr>
        <w:t xml:space="preserve"> que</w:t>
      </w:r>
      <w:r w:rsidRPr="00E1579C">
        <w:rPr>
          <w:bCs/>
        </w:rPr>
        <w:t xml:space="preserve">, aliada </w:t>
      </w:r>
      <w:r w:rsidR="00F53303" w:rsidRPr="00E1579C">
        <w:rPr>
          <w:bCs/>
        </w:rPr>
        <w:t>à</w:t>
      </w:r>
      <w:r w:rsidRPr="00E1579C">
        <w:rPr>
          <w:bCs/>
        </w:rPr>
        <w:t xml:space="preserve"> </w:t>
      </w:r>
      <w:r w:rsidR="00F53303" w:rsidRPr="00E1579C">
        <w:rPr>
          <w:bCs/>
        </w:rPr>
        <w:t xml:space="preserve">adoção do Plano </w:t>
      </w:r>
      <w:r w:rsidRPr="00E1579C">
        <w:rPr>
          <w:bCs/>
          <w:i/>
        </w:rPr>
        <w:t>Brady</w:t>
      </w:r>
      <w:r w:rsidR="00E75EE1" w:rsidRPr="00E1579C">
        <w:rPr>
          <w:bCs/>
        </w:rPr>
        <w:t xml:space="preserve">, </w:t>
      </w:r>
      <w:r w:rsidRPr="00E1579C">
        <w:rPr>
          <w:bCs/>
        </w:rPr>
        <w:t xml:space="preserve">teria impulsionado a reinserção </w:t>
      </w:r>
      <w:r w:rsidR="00E1579C" w:rsidRPr="00E1579C">
        <w:rPr>
          <w:bCs/>
        </w:rPr>
        <w:t>desses</w:t>
      </w:r>
      <w:r w:rsidRPr="00E1579C">
        <w:rPr>
          <w:bCs/>
        </w:rPr>
        <w:t xml:space="preserve"> países no</w:t>
      </w:r>
      <w:r w:rsidR="00432FC0" w:rsidRPr="00E1579C">
        <w:rPr>
          <w:bCs/>
        </w:rPr>
        <w:t xml:space="preserve"> mercado financeiro </w:t>
      </w:r>
      <w:r w:rsidRPr="00E1579C">
        <w:rPr>
          <w:bCs/>
        </w:rPr>
        <w:t>internaciona</w:t>
      </w:r>
      <w:r w:rsidR="00432FC0" w:rsidRPr="00E1579C">
        <w:rPr>
          <w:bCs/>
        </w:rPr>
        <w:t>l</w:t>
      </w:r>
      <w:r w:rsidRPr="00E1579C">
        <w:rPr>
          <w:bCs/>
        </w:rPr>
        <w:t>. Já Prates (1999) aponta como principa</w:t>
      </w:r>
      <w:r w:rsidR="00432FC0" w:rsidRPr="00E1579C">
        <w:rPr>
          <w:bCs/>
        </w:rPr>
        <w:t>is</w:t>
      </w:r>
      <w:r w:rsidRPr="00E1579C">
        <w:rPr>
          <w:bCs/>
        </w:rPr>
        <w:t xml:space="preserve"> determinante</w:t>
      </w:r>
      <w:r w:rsidR="00432FC0" w:rsidRPr="00E1579C">
        <w:rPr>
          <w:bCs/>
        </w:rPr>
        <w:t>s</w:t>
      </w:r>
      <w:r w:rsidRPr="00E1579C">
        <w:rPr>
          <w:bCs/>
        </w:rPr>
        <w:t xml:space="preserve"> </w:t>
      </w:r>
      <w:r w:rsidR="00432FC0" w:rsidRPr="00E1579C">
        <w:rPr>
          <w:bCs/>
        </w:rPr>
        <w:t>d</w:t>
      </w:r>
      <w:r w:rsidRPr="00E1579C">
        <w:rPr>
          <w:bCs/>
        </w:rPr>
        <w:t xml:space="preserve">o retorno dos fluxos de capitais privados naquele momento o contexto de redução da taxa de juros pelo </w:t>
      </w:r>
      <w:r w:rsidR="00432FC0" w:rsidRPr="00E1579C">
        <w:rPr>
          <w:bCs/>
          <w:i/>
        </w:rPr>
        <w:t xml:space="preserve">Federal Reserve </w:t>
      </w:r>
      <w:r w:rsidR="00432FC0" w:rsidRPr="00E1579C">
        <w:rPr>
          <w:bCs/>
        </w:rPr>
        <w:t>(</w:t>
      </w:r>
      <w:proofErr w:type="spellStart"/>
      <w:r w:rsidRPr="00E1579C">
        <w:rPr>
          <w:bCs/>
        </w:rPr>
        <w:t>Fed</w:t>
      </w:r>
      <w:proofErr w:type="spellEnd"/>
      <w:r w:rsidR="00432FC0" w:rsidRPr="00E1579C">
        <w:rPr>
          <w:bCs/>
        </w:rPr>
        <w:t>)</w:t>
      </w:r>
      <w:r w:rsidRPr="00E1579C">
        <w:rPr>
          <w:bCs/>
        </w:rPr>
        <w:t xml:space="preserve"> e </w:t>
      </w:r>
      <w:r w:rsidR="00432FC0" w:rsidRPr="00E1579C">
        <w:rPr>
          <w:bCs/>
        </w:rPr>
        <w:t xml:space="preserve">o movimento de </w:t>
      </w:r>
      <w:r w:rsidRPr="00E1579C">
        <w:rPr>
          <w:bCs/>
        </w:rPr>
        <w:t xml:space="preserve">diversificação de portfólio pelos </w:t>
      </w:r>
      <w:r w:rsidR="00F37B24">
        <w:rPr>
          <w:bCs/>
        </w:rPr>
        <w:t>agentes</w:t>
      </w:r>
      <w:r w:rsidR="00F37B24" w:rsidRPr="00E1579C">
        <w:rPr>
          <w:bCs/>
        </w:rPr>
        <w:t xml:space="preserve"> </w:t>
      </w:r>
      <w:r w:rsidR="00F37B24">
        <w:rPr>
          <w:bCs/>
        </w:rPr>
        <w:t>privados globais</w:t>
      </w:r>
      <w:r w:rsidRPr="00E1579C">
        <w:rPr>
          <w:bCs/>
        </w:rPr>
        <w:t>. Nesse sentido, a autora considera que a dinâmica d</w:t>
      </w:r>
      <w:r w:rsidR="00DD065A" w:rsidRPr="00E1579C">
        <w:rPr>
          <w:bCs/>
        </w:rPr>
        <w:t xml:space="preserve">esses </w:t>
      </w:r>
      <w:r w:rsidRPr="00E1579C">
        <w:rPr>
          <w:bCs/>
        </w:rPr>
        <w:t xml:space="preserve">fluxos é </w:t>
      </w:r>
      <w:r w:rsidR="00432FC0" w:rsidRPr="00E1579C">
        <w:rPr>
          <w:bCs/>
        </w:rPr>
        <w:t xml:space="preserve">subordinada </w:t>
      </w:r>
      <w:r w:rsidRPr="00E1579C">
        <w:rPr>
          <w:bCs/>
        </w:rPr>
        <w:t xml:space="preserve">preponderantemente </w:t>
      </w:r>
      <w:r w:rsidR="00432FC0" w:rsidRPr="00E1579C">
        <w:rPr>
          <w:bCs/>
        </w:rPr>
        <w:t xml:space="preserve">a condicionantes </w:t>
      </w:r>
      <w:r w:rsidRPr="00E1579C">
        <w:rPr>
          <w:bCs/>
        </w:rPr>
        <w:t>exógen</w:t>
      </w:r>
      <w:r w:rsidR="00432FC0" w:rsidRPr="00E1579C">
        <w:rPr>
          <w:bCs/>
        </w:rPr>
        <w:t>os</w:t>
      </w:r>
      <w:r w:rsidRPr="00E1579C">
        <w:rPr>
          <w:bCs/>
        </w:rPr>
        <w:t xml:space="preserve"> e que </w:t>
      </w:r>
      <w:r w:rsidR="00432FC0" w:rsidRPr="00E1579C">
        <w:rPr>
          <w:bCs/>
        </w:rPr>
        <w:t>fatores</w:t>
      </w:r>
      <w:r w:rsidRPr="00E1579C">
        <w:rPr>
          <w:bCs/>
        </w:rPr>
        <w:t xml:space="preserve"> intern</w:t>
      </w:r>
      <w:r w:rsidR="00432FC0" w:rsidRPr="00E1579C">
        <w:rPr>
          <w:bCs/>
        </w:rPr>
        <w:t>o</w:t>
      </w:r>
      <w:r w:rsidRPr="00E1579C">
        <w:rPr>
          <w:bCs/>
        </w:rPr>
        <w:t xml:space="preserve">s aos países </w:t>
      </w:r>
      <w:r w:rsidR="00432FC0" w:rsidRPr="00E1579C">
        <w:rPr>
          <w:bCs/>
        </w:rPr>
        <w:t>(os chamados fundamentos macroeconômicos) ter</w:t>
      </w:r>
      <w:r w:rsidRPr="00E1579C">
        <w:rPr>
          <w:bCs/>
        </w:rPr>
        <w:t xml:space="preserve">iam apenas </w:t>
      </w:r>
      <w:r w:rsidR="00432FC0" w:rsidRPr="00E1579C">
        <w:rPr>
          <w:bCs/>
        </w:rPr>
        <w:t>um papel secundário</w:t>
      </w:r>
      <w:r w:rsidRPr="00E1579C">
        <w:rPr>
          <w:bCs/>
        </w:rPr>
        <w:t xml:space="preserve">. Na mesma linha de argumentação, </w:t>
      </w:r>
      <w:proofErr w:type="spellStart"/>
      <w:r w:rsidRPr="00E1579C">
        <w:t>Biancareli</w:t>
      </w:r>
      <w:proofErr w:type="spellEnd"/>
      <w:r w:rsidRPr="00E1579C">
        <w:t xml:space="preserve"> (200</w:t>
      </w:r>
      <w:r w:rsidR="007E63DC" w:rsidRPr="00E1579C">
        <w:t>6</w:t>
      </w:r>
      <w:r w:rsidRPr="00E1579C">
        <w:t xml:space="preserve">) sustenta que, apesar de fatores internos </w:t>
      </w:r>
      <w:r w:rsidR="00432FC0" w:rsidRPr="00E1579C">
        <w:t>também influenci</w:t>
      </w:r>
      <w:r w:rsidRPr="00E1579C">
        <w:t xml:space="preserve">arem os </w:t>
      </w:r>
      <w:r w:rsidR="00432FC0" w:rsidRPr="00E1579C">
        <w:t xml:space="preserve">fluxos </w:t>
      </w:r>
      <w:r w:rsidRPr="00E1579C">
        <w:t xml:space="preserve">de capitais, são os fatores exógenos à economia doméstica que determinam </w:t>
      </w:r>
      <w:r w:rsidR="00DD065A" w:rsidRPr="00E1579C">
        <w:t>seu</w:t>
      </w:r>
      <w:r w:rsidRPr="00E1579C">
        <w:t xml:space="preserve"> direcionamento.</w:t>
      </w:r>
    </w:p>
    <w:p w14:paraId="71B22BCE" w14:textId="77777777" w:rsidR="006D034F" w:rsidRDefault="00B819DF" w:rsidP="00FC2664">
      <w:pPr>
        <w:spacing w:line="480" w:lineRule="auto"/>
        <w:ind w:firstLine="851"/>
        <w:rPr>
          <w:bCs/>
        </w:rPr>
      </w:pPr>
      <w:r>
        <w:rPr>
          <w:bCs/>
        </w:rPr>
        <w:t>O</w:t>
      </w:r>
      <w:r w:rsidR="00434CC8" w:rsidRPr="000A0093">
        <w:rPr>
          <w:bCs/>
        </w:rPr>
        <w:t xml:space="preserve"> </w:t>
      </w:r>
      <w:r w:rsidR="00432FC0" w:rsidRPr="000A0093">
        <w:rPr>
          <w:bCs/>
        </w:rPr>
        <w:t xml:space="preserve">debate sobre a </w:t>
      </w:r>
      <w:r w:rsidR="00367569" w:rsidRPr="000A0093">
        <w:rPr>
          <w:bCs/>
        </w:rPr>
        <w:t xml:space="preserve">preponderância dos determinantes internos </w:t>
      </w:r>
      <w:r w:rsidR="00432FC0" w:rsidRPr="000A0093">
        <w:rPr>
          <w:bCs/>
        </w:rPr>
        <w:t>(</w:t>
      </w:r>
      <w:proofErr w:type="spellStart"/>
      <w:r w:rsidR="000415A1" w:rsidRPr="000A0093">
        <w:rPr>
          <w:bCs/>
          <w:i/>
        </w:rPr>
        <w:t>pull</w:t>
      </w:r>
      <w:proofErr w:type="spellEnd"/>
      <w:r w:rsidR="000415A1" w:rsidRPr="000A0093">
        <w:rPr>
          <w:bCs/>
          <w:i/>
        </w:rPr>
        <w:t xml:space="preserve"> </w:t>
      </w:r>
      <w:proofErr w:type="spellStart"/>
      <w:r w:rsidR="00432FC0" w:rsidRPr="000A0093">
        <w:rPr>
          <w:bCs/>
          <w:i/>
        </w:rPr>
        <w:t>factors</w:t>
      </w:r>
      <w:proofErr w:type="spellEnd"/>
      <w:r w:rsidR="00432FC0" w:rsidRPr="000A0093">
        <w:rPr>
          <w:bCs/>
          <w:i/>
        </w:rPr>
        <w:t xml:space="preserve">) </w:t>
      </w:r>
      <w:r w:rsidR="00367569" w:rsidRPr="000A0093">
        <w:rPr>
          <w:bCs/>
        </w:rPr>
        <w:t xml:space="preserve">ou externos </w:t>
      </w:r>
      <w:r w:rsidR="00432FC0" w:rsidRPr="000A0093">
        <w:rPr>
          <w:bCs/>
        </w:rPr>
        <w:t>(</w:t>
      </w:r>
      <w:proofErr w:type="spellStart"/>
      <w:r w:rsidR="00432FC0" w:rsidRPr="000A0093">
        <w:rPr>
          <w:bCs/>
          <w:i/>
        </w:rPr>
        <w:t>pu</w:t>
      </w:r>
      <w:r w:rsidR="000415A1" w:rsidRPr="000A0093">
        <w:rPr>
          <w:bCs/>
          <w:i/>
        </w:rPr>
        <w:t>sh</w:t>
      </w:r>
      <w:proofErr w:type="spellEnd"/>
      <w:r w:rsidR="00432FC0" w:rsidRPr="000A0093">
        <w:rPr>
          <w:bCs/>
          <w:i/>
        </w:rPr>
        <w:t xml:space="preserve"> </w:t>
      </w:r>
      <w:proofErr w:type="spellStart"/>
      <w:r w:rsidR="00432FC0" w:rsidRPr="000A0093">
        <w:rPr>
          <w:bCs/>
          <w:i/>
        </w:rPr>
        <w:t>factors</w:t>
      </w:r>
      <w:proofErr w:type="spellEnd"/>
      <w:r w:rsidR="00432FC0" w:rsidRPr="000A0093">
        <w:rPr>
          <w:bCs/>
          <w:i/>
        </w:rPr>
        <w:t>)</w:t>
      </w:r>
      <w:r w:rsidR="00432FC0" w:rsidRPr="000A0093">
        <w:rPr>
          <w:bCs/>
        </w:rPr>
        <w:t xml:space="preserve"> na dinâmica dos</w:t>
      </w:r>
      <w:r w:rsidR="00367569" w:rsidRPr="000A0093">
        <w:rPr>
          <w:bCs/>
        </w:rPr>
        <w:t xml:space="preserve"> fluxos de capitais aos </w:t>
      </w:r>
      <w:r w:rsidR="00367569" w:rsidRPr="00F11B2E">
        <w:rPr>
          <w:bCs/>
        </w:rPr>
        <w:t>países em desenvolvimento</w:t>
      </w:r>
      <w:r w:rsidR="00432FC0" w:rsidRPr="000A0093">
        <w:rPr>
          <w:bCs/>
        </w:rPr>
        <w:t xml:space="preserve"> não se restringiu ao ciclo dos anos 1990. </w:t>
      </w:r>
      <w:r w:rsidR="005056BF" w:rsidRPr="000A0093">
        <w:rPr>
          <w:bCs/>
        </w:rPr>
        <w:t xml:space="preserve">Também proliferaram estudos </w:t>
      </w:r>
      <w:r w:rsidR="00432FC0" w:rsidRPr="000A0093">
        <w:rPr>
          <w:bCs/>
        </w:rPr>
        <w:t xml:space="preserve">sobre </w:t>
      </w:r>
      <w:r w:rsidR="005056BF" w:rsidRPr="000A0093">
        <w:rPr>
          <w:bCs/>
        </w:rPr>
        <w:t>os determinantes dos</w:t>
      </w:r>
      <w:r w:rsidR="00432FC0" w:rsidRPr="000A0093">
        <w:rPr>
          <w:bCs/>
        </w:rPr>
        <w:t xml:space="preserve"> ciclos de fluxos de capitais</w:t>
      </w:r>
      <w:r w:rsidR="005056BF" w:rsidRPr="000A0093">
        <w:rPr>
          <w:bCs/>
        </w:rPr>
        <w:t xml:space="preserve"> no novo milênio</w:t>
      </w:r>
      <w:r w:rsidR="00367569" w:rsidRPr="000A0093">
        <w:rPr>
          <w:bCs/>
        </w:rPr>
        <w:t xml:space="preserve">. </w:t>
      </w:r>
      <w:r w:rsidR="00DD065A">
        <w:rPr>
          <w:bCs/>
        </w:rPr>
        <w:t>A maioria do</w:t>
      </w:r>
      <w:r w:rsidR="00367569" w:rsidRPr="000A0093">
        <w:rPr>
          <w:bCs/>
        </w:rPr>
        <w:t>s trabalhos empíricos refere</w:t>
      </w:r>
      <w:r w:rsidR="00DD065A">
        <w:rPr>
          <w:bCs/>
        </w:rPr>
        <w:t>-se</w:t>
      </w:r>
      <w:r w:rsidR="00367569" w:rsidRPr="000A0093">
        <w:rPr>
          <w:bCs/>
        </w:rPr>
        <w:t xml:space="preserve"> aos fatores exógenos como sendo: rendimento em renda fixa e eventualmente renda variável de aplicações financeiras nos Estados Unidos, crescimento econômico dos países </w:t>
      </w:r>
      <w:r w:rsidR="005056BF" w:rsidRPr="000A0093">
        <w:rPr>
          <w:bCs/>
        </w:rPr>
        <w:t>desenvolvidos</w:t>
      </w:r>
      <w:r w:rsidR="00367569" w:rsidRPr="000A0093">
        <w:rPr>
          <w:bCs/>
        </w:rPr>
        <w:t xml:space="preserve"> e </w:t>
      </w:r>
      <w:r w:rsidR="00434CC8" w:rsidRPr="000A0093">
        <w:rPr>
          <w:bCs/>
        </w:rPr>
        <w:t xml:space="preserve">aversão ao risco </w:t>
      </w:r>
      <w:r w:rsidR="00367569" w:rsidRPr="000A0093">
        <w:rPr>
          <w:bCs/>
        </w:rPr>
        <w:t xml:space="preserve">dos agentes que atuam no mercado financeiro. Já os fatores internos </w:t>
      </w:r>
      <w:r w:rsidR="005056BF" w:rsidRPr="000A0093">
        <w:rPr>
          <w:bCs/>
        </w:rPr>
        <w:t>incluem</w:t>
      </w:r>
      <w:r w:rsidR="00DD065A">
        <w:rPr>
          <w:bCs/>
        </w:rPr>
        <w:t>,</w:t>
      </w:r>
      <w:r w:rsidR="00764A9A">
        <w:rPr>
          <w:bCs/>
        </w:rPr>
        <w:t xml:space="preserve"> principalmente</w:t>
      </w:r>
      <w:r w:rsidR="00DD065A">
        <w:rPr>
          <w:bCs/>
        </w:rPr>
        <w:t>,</w:t>
      </w:r>
      <w:r w:rsidR="00764A9A">
        <w:rPr>
          <w:bCs/>
        </w:rPr>
        <w:t xml:space="preserve"> os</w:t>
      </w:r>
      <w:r w:rsidR="005056BF" w:rsidRPr="000A0093">
        <w:rPr>
          <w:bCs/>
        </w:rPr>
        <w:t xml:space="preserve"> </w:t>
      </w:r>
      <w:r w:rsidR="00764A9A">
        <w:rPr>
          <w:bCs/>
        </w:rPr>
        <w:t>indicadores de estabilidade macroeconômica e</w:t>
      </w:r>
      <w:r w:rsidR="00367569" w:rsidRPr="000A0093">
        <w:rPr>
          <w:bCs/>
        </w:rPr>
        <w:t xml:space="preserve"> melhora da rentabilidade d</w:t>
      </w:r>
      <w:r w:rsidR="005056BF" w:rsidRPr="000A0093">
        <w:rPr>
          <w:bCs/>
        </w:rPr>
        <w:t>os</w:t>
      </w:r>
      <w:r w:rsidR="00367569" w:rsidRPr="000A0093">
        <w:rPr>
          <w:bCs/>
        </w:rPr>
        <w:t xml:space="preserve"> ativos </w:t>
      </w:r>
      <w:r w:rsidR="005056BF" w:rsidRPr="000A0093">
        <w:rPr>
          <w:bCs/>
        </w:rPr>
        <w:t>domésticos (</w:t>
      </w:r>
      <w:r w:rsidR="00367569" w:rsidRPr="000A0093">
        <w:rPr>
          <w:bCs/>
        </w:rPr>
        <w:t xml:space="preserve">seja pela combinação de juros elevados com valorização cambial, seja pela expectativa de valorização da riqueza </w:t>
      </w:r>
      <w:r w:rsidR="00434CC8" w:rsidRPr="000A0093">
        <w:rPr>
          <w:bCs/>
        </w:rPr>
        <w:t xml:space="preserve">financeira </w:t>
      </w:r>
      <w:r w:rsidR="00367569" w:rsidRPr="000A0093">
        <w:rPr>
          <w:bCs/>
        </w:rPr>
        <w:t>até então depreciada</w:t>
      </w:r>
      <w:r w:rsidR="005056BF" w:rsidRPr="000A0093">
        <w:rPr>
          <w:bCs/>
        </w:rPr>
        <w:t>)</w:t>
      </w:r>
      <w:r w:rsidR="00764A9A">
        <w:rPr>
          <w:bCs/>
        </w:rPr>
        <w:t>.</w:t>
      </w:r>
    </w:p>
    <w:p w14:paraId="793B12B7" w14:textId="320EA3F2" w:rsidR="00367569" w:rsidRDefault="00404DF8" w:rsidP="00E06688">
      <w:pPr>
        <w:spacing w:line="480" w:lineRule="auto"/>
        <w:ind w:firstLine="851"/>
        <w:rPr>
          <w:bCs/>
        </w:rPr>
      </w:pPr>
      <w:r w:rsidRPr="006D44D5">
        <w:rPr>
          <w:bCs/>
        </w:rPr>
        <w:t>E</w:t>
      </w:r>
      <w:r w:rsidR="00367569" w:rsidRPr="006D44D5">
        <w:rPr>
          <w:bCs/>
        </w:rPr>
        <w:t xml:space="preserve">ste </w:t>
      </w:r>
      <w:r w:rsidR="002B4604" w:rsidRPr="006D44D5">
        <w:rPr>
          <w:bCs/>
        </w:rPr>
        <w:t>artigo</w:t>
      </w:r>
      <w:r w:rsidR="00367569" w:rsidRPr="006D44D5">
        <w:rPr>
          <w:bCs/>
        </w:rPr>
        <w:t xml:space="preserve"> está divido em </w:t>
      </w:r>
      <w:r w:rsidR="009B7261" w:rsidRPr="006D44D5">
        <w:rPr>
          <w:bCs/>
        </w:rPr>
        <w:t>quatro</w:t>
      </w:r>
      <w:r w:rsidR="00367569" w:rsidRPr="006D44D5">
        <w:rPr>
          <w:bCs/>
        </w:rPr>
        <w:t xml:space="preserve"> seções, além desta introdução e da conclusão. A primeira seção </w:t>
      </w:r>
      <w:r w:rsidR="000415A1" w:rsidRPr="006D44D5">
        <w:rPr>
          <w:bCs/>
        </w:rPr>
        <w:t xml:space="preserve">faz </w:t>
      </w:r>
      <w:r w:rsidR="00367569" w:rsidRPr="006D44D5">
        <w:rPr>
          <w:bCs/>
        </w:rPr>
        <w:t xml:space="preserve">uma </w:t>
      </w:r>
      <w:r w:rsidR="00E427BA" w:rsidRPr="006D44D5">
        <w:rPr>
          <w:bCs/>
        </w:rPr>
        <w:t xml:space="preserve">síntese </w:t>
      </w:r>
      <w:r w:rsidR="006D44D5" w:rsidRPr="006D44D5">
        <w:rPr>
          <w:bCs/>
        </w:rPr>
        <w:t>da abordagem pós-</w:t>
      </w:r>
      <w:proofErr w:type="spellStart"/>
      <w:r w:rsidR="006D44D5" w:rsidRPr="006D44D5">
        <w:rPr>
          <w:bCs/>
        </w:rPr>
        <w:t>keynesiana</w:t>
      </w:r>
      <w:proofErr w:type="spellEnd"/>
      <w:r w:rsidR="00B819DF" w:rsidRPr="006D44D5">
        <w:rPr>
          <w:bCs/>
        </w:rPr>
        <w:t xml:space="preserve"> para </w:t>
      </w:r>
      <w:r w:rsidR="00DD065A" w:rsidRPr="006D44D5">
        <w:rPr>
          <w:bCs/>
        </w:rPr>
        <w:t>a dinâmica</w:t>
      </w:r>
      <w:r w:rsidR="00A25EAF">
        <w:rPr>
          <w:bCs/>
        </w:rPr>
        <w:t xml:space="preserve"> </w:t>
      </w:r>
      <w:r w:rsidR="00B819DF" w:rsidRPr="006D44D5">
        <w:rPr>
          <w:bCs/>
        </w:rPr>
        <w:t xml:space="preserve">dos fluxos de capitais, </w:t>
      </w:r>
      <w:r w:rsidR="00DD065A" w:rsidRPr="006D44D5">
        <w:rPr>
          <w:bCs/>
        </w:rPr>
        <w:t xml:space="preserve">destacando a relação entre essa dinâmica e as </w:t>
      </w:r>
      <w:r w:rsidR="00F81C37" w:rsidRPr="006D44D5">
        <w:rPr>
          <w:bCs/>
        </w:rPr>
        <w:t>características</w:t>
      </w:r>
      <w:r w:rsidR="00B819DF" w:rsidRPr="006D44D5">
        <w:rPr>
          <w:bCs/>
        </w:rPr>
        <w:t xml:space="preserve"> do SMFI contemporâneo. A seção seguinte traz uma revisão, de forma </w:t>
      </w:r>
      <w:r w:rsidR="00367569" w:rsidRPr="006D44D5">
        <w:rPr>
          <w:bCs/>
        </w:rPr>
        <w:t>não extensiva</w:t>
      </w:r>
      <w:r w:rsidR="00B819DF" w:rsidRPr="006D44D5">
        <w:rPr>
          <w:bCs/>
        </w:rPr>
        <w:t>,</w:t>
      </w:r>
      <w:r w:rsidR="00367569" w:rsidRPr="006D44D5">
        <w:rPr>
          <w:bCs/>
        </w:rPr>
        <w:t xml:space="preserve"> dos trabalhos empíricos sobre os determinantes dos fluxos financeiros </w:t>
      </w:r>
      <w:r w:rsidR="000415A1" w:rsidRPr="006D44D5">
        <w:rPr>
          <w:bCs/>
        </w:rPr>
        <w:t xml:space="preserve">para </w:t>
      </w:r>
      <w:r w:rsidR="00367569" w:rsidRPr="006D44D5">
        <w:rPr>
          <w:bCs/>
        </w:rPr>
        <w:t>os países em desenvolvimento</w:t>
      </w:r>
      <w:r w:rsidR="00F611A5">
        <w:rPr>
          <w:bCs/>
        </w:rPr>
        <w:t xml:space="preserve"> </w:t>
      </w:r>
      <w:r w:rsidR="00367569" w:rsidRPr="006D44D5">
        <w:rPr>
          <w:bCs/>
        </w:rPr>
        <w:t xml:space="preserve">após sua inserção no processo de </w:t>
      </w:r>
      <w:r w:rsidR="00367569" w:rsidRPr="006D44D5">
        <w:rPr>
          <w:bCs/>
        </w:rPr>
        <w:lastRenderedPageBreak/>
        <w:t xml:space="preserve">globalização financeira. </w:t>
      </w:r>
      <w:r w:rsidR="001F6790" w:rsidRPr="006D44D5">
        <w:rPr>
          <w:bCs/>
        </w:rPr>
        <w:t xml:space="preserve">A </w:t>
      </w:r>
      <w:r w:rsidR="00B819DF" w:rsidRPr="006D44D5">
        <w:rPr>
          <w:bCs/>
        </w:rPr>
        <w:t>terceira</w:t>
      </w:r>
      <w:r w:rsidR="001F6790" w:rsidRPr="006D44D5">
        <w:rPr>
          <w:bCs/>
        </w:rPr>
        <w:t xml:space="preserve"> seção </w:t>
      </w:r>
      <w:r w:rsidR="0017173B" w:rsidRPr="006D44D5">
        <w:rPr>
          <w:bCs/>
        </w:rPr>
        <w:t>apresenta o método de análise</w:t>
      </w:r>
      <w:r w:rsidR="001C03DE" w:rsidRPr="006D44D5">
        <w:rPr>
          <w:bCs/>
        </w:rPr>
        <w:t xml:space="preserve"> e o modelo utilizado</w:t>
      </w:r>
      <w:r w:rsidR="001F6790" w:rsidRPr="006D44D5">
        <w:rPr>
          <w:bCs/>
        </w:rPr>
        <w:t xml:space="preserve">. </w:t>
      </w:r>
      <w:r w:rsidR="00367569" w:rsidRPr="006D44D5">
        <w:rPr>
          <w:bCs/>
        </w:rPr>
        <w:t xml:space="preserve">A </w:t>
      </w:r>
      <w:r w:rsidR="00C11E6A" w:rsidRPr="006D44D5">
        <w:rPr>
          <w:bCs/>
        </w:rPr>
        <w:t>quarta</w:t>
      </w:r>
      <w:r w:rsidR="00367569" w:rsidRPr="006D44D5">
        <w:rPr>
          <w:bCs/>
        </w:rPr>
        <w:t xml:space="preserve"> e principal seção do </w:t>
      </w:r>
      <w:r w:rsidR="002D17D4" w:rsidRPr="006D44D5">
        <w:rPr>
          <w:bCs/>
        </w:rPr>
        <w:t>trabalho</w:t>
      </w:r>
      <w:r w:rsidR="00367569" w:rsidRPr="006D44D5">
        <w:rPr>
          <w:bCs/>
        </w:rPr>
        <w:t xml:space="preserve"> </w:t>
      </w:r>
      <w:r w:rsidR="000415A1" w:rsidRPr="006D44D5">
        <w:rPr>
          <w:bCs/>
        </w:rPr>
        <w:t xml:space="preserve">apresenta </w:t>
      </w:r>
      <w:r w:rsidR="001F6790" w:rsidRPr="006D44D5">
        <w:rPr>
          <w:bCs/>
        </w:rPr>
        <w:t xml:space="preserve">os resultados do </w:t>
      </w:r>
      <w:r w:rsidR="000415A1" w:rsidRPr="006D44D5">
        <w:rPr>
          <w:bCs/>
        </w:rPr>
        <w:t xml:space="preserve">estudo </w:t>
      </w:r>
      <w:r w:rsidR="00367569" w:rsidRPr="006D44D5">
        <w:rPr>
          <w:bCs/>
        </w:rPr>
        <w:t>empíric</w:t>
      </w:r>
      <w:r w:rsidR="000415A1" w:rsidRPr="006D44D5">
        <w:rPr>
          <w:bCs/>
        </w:rPr>
        <w:t xml:space="preserve">o </w:t>
      </w:r>
      <w:r w:rsidR="001F6790" w:rsidRPr="006D44D5">
        <w:rPr>
          <w:bCs/>
        </w:rPr>
        <w:t xml:space="preserve">realizado </w:t>
      </w:r>
      <w:r w:rsidR="00367569" w:rsidRPr="006D44D5">
        <w:rPr>
          <w:bCs/>
        </w:rPr>
        <w:t xml:space="preserve">sobre os determinantes dos fluxos </w:t>
      </w:r>
      <w:r w:rsidR="006D44D5" w:rsidRPr="006D44D5">
        <w:rPr>
          <w:bCs/>
        </w:rPr>
        <w:t>financeiros</w:t>
      </w:r>
      <w:r w:rsidR="00367569" w:rsidRPr="006D44D5">
        <w:rPr>
          <w:bCs/>
        </w:rPr>
        <w:t xml:space="preserve"> p</w:t>
      </w:r>
      <w:r w:rsidR="004B722D" w:rsidRPr="006D44D5">
        <w:rPr>
          <w:bCs/>
        </w:rPr>
        <w:t>ara os países em desenvolvimento</w:t>
      </w:r>
      <w:r w:rsidR="000415A1" w:rsidRPr="006D44D5">
        <w:rPr>
          <w:bCs/>
        </w:rPr>
        <w:t>, que se diferencia dos demais estudos sobre o tema em função</w:t>
      </w:r>
      <w:r w:rsidR="0085777D" w:rsidRPr="006D44D5">
        <w:rPr>
          <w:bCs/>
        </w:rPr>
        <w:t>, sobretudo,</w:t>
      </w:r>
      <w:r w:rsidR="000415A1" w:rsidRPr="006D44D5">
        <w:rPr>
          <w:bCs/>
        </w:rPr>
        <w:t xml:space="preserve"> de d</w:t>
      </w:r>
      <w:r w:rsidR="0085777D" w:rsidRPr="006D44D5">
        <w:rPr>
          <w:bCs/>
        </w:rPr>
        <w:t>uas características</w:t>
      </w:r>
      <w:r w:rsidR="00367569" w:rsidRPr="006D44D5">
        <w:rPr>
          <w:bCs/>
        </w:rPr>
        <w:t xml:space="preserve">: </w:t>
      </w:r>
      <w:r w:rsidR="00E06688">
        <w:rPr>
          <w:bCs/>
        </w:rPr>
        <w:t xml:space="preserve">em primeiro lugar, </w:t>
      </w:r>
      <w:r w:rsidR="00367569" w:rsidRPr="006D44D5">
        <w:rPr>
          <w:bCs/>
        </w:rPr>
        <w:t xml:space="preserve">pela abrangência do painel adotado, que incorporou 42 países </w:t>
      </w:r>
      <w:r w:rsidR="00E1579C" w:rsidRPr="006D44D5">
        <w:rPr>
          <w:bCs/>
        </w:rPr>
        <w:t>em desenvolvimento</w:t>
      </w:r>
      <w:r w:rsidR="00367569" w:rsidRPr="006D44D5">
        <w:rPr>
          <w:bCs/>
        </w:rPr>
        <w:t xml:space="preserve"> de </w:t>
      </w:r>
      <w:proofErr w:type="gramStart"/>
      <w:r w:rsidR="00AD230D" w:rsidRPr="006D44D5">
        <w:rPr>
          <w:bCs/>
        </w:rPr>
        <w:t>4</w:t>
      </w:r>
      <w:proofErr w:type="gramEnd"/>
      <w:r w:rsidR="00367569" w:rsidRPr="006D44D5">
        <w:rPr>
          <w:bCs/>
        </w:rPr>
        <w:t xml:space="preserve"> diferentes continentes num período de </w:t>
      </w:r>
      <w:r w:rsidR="003C47FE">
        <w:rPr>
          <w:bCs/>
        </w:rPr>
        <w:t>19</w:t>
      </w:r>
      <w:r w:rsidR="00367569" w:rsidRPr="006D44D5">
        <w:rPr>
          <w:bCs/>
        </w:rPr>
        <w:t xml:space="preserve"> anos </w:t>
      </w:r>
      <w:r w:rsidR="000415A1" w:rsidRPr="006D44D5">
        <w:rPr>
          <w:bCs/>
        </w:rPr>
        <w:t>(</w:t>
      </w:r>
      <w:r w:rsidR="00434CC8" w:rsidRPr="006D44D5">
        <w:rPr>
          <w:bCs/>
        </w:rPr>
        <w:t>de</w:t>
      </w:r>
      <w:r w:rsidR="004B722D" w:rsidRPr="006D44D5">
        <w:rPr>
          <w:bCs/>
        </w:rPr>
        <w:t xml:space="preserve"> </w:t>
      </w:r>
      <w:r w:rsidR="00434CC8" w:rsidRPr="006D44D5">
        <w:rPr>
          <w:bCs/>
        </w:rPr>
        <w:t>19</w:t>
      </w:r>
      <w:r w:rsidR="003C47FE">
        <w:rPr>
          <w:bCs/>
        </w:rPr>
        <w:t>90</w:t>
      </w:r>
      <w:r w:rsidR="00434CC8" w:rsidRPr="006D44D5">
        <w:rPr>
          <w:bCs/>
        </w:rPr>
        <w:t xml:space="preserve">, </w:t>
      </w:r>
      <w:r w:rsidR="00367569" w:rsidRPr="006D44D5">
        <w:rPr>
          <w:bCs/>
        </w:rPr>
        <w:t xml:space="preserve">quando esses países </w:t>
      </w:r>
      <w:r w:rsidR="000415A1" w:rsidRPr="006D44D5">
        <w:rPr>
          <w:bCs/>
        </w:rPr>
        <w:t xml:space="preserve">iniciaram </w:t>
      </w:r>
      <w:r w:rsidR="00E06688">
        <w:rPr>
          <w:bCs/>
        </w:rPr>
        <w:t>sua</w:t>
      </w:r>
      <w:r w:rsidR="000415A1" w:rsidRPr="006D44D5">
        <w:rPr>
          <w:bCs/>
        </w:rPr>
        <w:t xml:space="preserve"> </w:t>
      </w:r>
      <w:r w:rsidR="00367569" w:rsidRPr="006D44D5">
        <w:rPr>
          <w:bCs/>
        </w:rPr>
        <w:t>inser</w:t>
      </w:r>
      <w:r w:rsidR="000415A1" w:rsidRPr="006D44D5">
        <w:rPr>
          <w:bCs/>
        </w:rPr>
        <w:t>ção</w:t>
      </w:r>
      <w:r w:rsidR="00367569" w:rsidRPr="006D44D5">
        <w:rPr>
          <w:bCs/>
        </w:rPr>
        <w:t xml:space="preserve"> na globalização financeira</w:t>
      </w:r>
      <w:r w:rsidR="000415A1" w:rsidRPr="006D44D5">
        <w:rPr>
          <w:bCs/>
        </w:rPr>
        <w:t xml:space="preserve">, a </w:t>
      </w:r>
      <w:r w:rsidR="00367569" w:rsidRPr="006D44D5">
        <w:rPr>
          <w:bCs/>
        </w:rPr>
        <w:t>2008, ano da crise financeira global</w:t>
      </w:r>
      <w:r w:rsidR="00C11E6A" w:rsidRPr="006D44D5">
        <w:rPr>
          <w:bCs/>
        </w:rPr>
        <w:t>)</w:t>
      </w:r>
      <w:r w:rsidR="00367569" w:rsidRPr="006D44D5">
        <w:rPr>
          <w:bCs/>
        </w:rPr>
        <w:t xml:space="preserve">; </w:t>
      </w:r>
      <w:r w:rsidR="00E06688">
        <w:rPr>
          <w:bCs/>
        </w:rPr>
        <w:t>em segundo lugar</w:t>
      </w:r>
      <w:r w:rsidR="00367569" w:rsidRPr="006D44D5">
        <w:rPr>
          <w:bCs/>
        </w:rPr>
        <w:t xml:space="preserve">, estimou-se </w:t>
      </w:r>
      <w:r w:rsidR="00590FD6" w:rsidRPr="006D44D5">
        <w:rPr>
          <w:bCs/>
        </w:rPr>
        <w:t xml:space="preserve">um modelo com </w:t>
      </w:r>
      <w:r w:rsidR="00504E7A">
        <w:rPr>
          <w:bCs/>
        </w:rPr>
        <w:t>9</w:t>
      </w:r>
      <w:r w:rsidR="00590FD6" w:rsidRPr="006D44D5">
        <w:rPr>
          <w:bCs/>
        </w:rPr>
        <w:t xml:space="preserve"> variáveis</w:t>
      </w:r>
      <w:r w:rsidR="00504E7A">
        <w:rPr>
          <w:bCs/>
        </w:rPr>
        <w:t xml:space="preserve">, </w:t>
      </w:r>
      <w:r w:rsidR="00365D95">
        <w:rPr>
          <w:bCs/>
        </w:rPr>
        <w:t>constituindo</w:t>
      </w:r>
      <w:r w:rsidR="00590FD6" w:rsidRPr="006D44D5">
        <w:rPr>
          <w:bCs/>
        </w:rPr>
        <w:t xml:space="preserve"> </w:t>
      </w:r>
      <w:r w:rsidR="00E55776" w:rsidRPr="006D44D5">
        <w:rPr>
          <w:bCs/>
        </w:rPr>
        <w:t>4</w:t>
      </w:r>
      <w:r w:rsidR="00504E7A">
        <w:rPr>
          <w:bCs/>
        </w:rPr>
        <w:t xml:space="preserve"> </w:t>
      </w:r>
      <w:r w:rsidR="00367569" w:rsidRPr="006D44D5">
        <w:rPr>
          <w:bCs/>
        </w:rPr>
        <w:t xml:space="preserve">caracterizadas como </w:t>
      </w:r>
      <w:proofErr w:type="spellStart"/>
      <w:r w:rsidR="00367569" w:rsidRPr="006D44D5">
        <w:rPr>
          <w:bCs/>
          <w:i/>
        </w:rPr>
        <w:t>push</w:t>
      </w:r>
      <w:proofErr w:type="spellEnd"/>
      <w:r w:rsidR="00367569" w:rsidRPr="006D44D5">
        <w:rPr>
          <w:bCs/>
          <w:i/>
        </w:rPr>
        <w:t xml:space="preserve"> </w:t>
      </w:r>
      <w:proofErr w:type="spellStart"/>
      <w:r w:rsidR="00367569" w:rsidRPr="006D44D5">
        <w:rPr>
          <w:bCs/>
          <w:i/>
        </w:rPr>
        <w:t>factors</w:t>
      </w:r>
      <w:proofErr w:type="spellEnd"/>
      <w:r w:rsidR="00367569" w:rsidRPr="006D44D5">
        <w:rPr>
          <w:bCs/>
        </w:rPr>
        <w:t xml:space="preserve"> e </w:t>
      </w:r>
      <w:r w:rsidR="00590FD6" w:rsidRPr="006D44D5">
        <w:rPr>
          <w:bCs/>
        </w:rPr>
        <w:t>5</w:t>
      </w:r>
      <w:r w:rsidR="00367569" w:rsidRPr="006D44D5">
        <w:rPr>
          <w:bCs/>
        </w:rPr>
        <w:t xml:space="preserve"> variáveis caracterizadas como </w:t>
      </w:r>
      <w:proofErr w:type="spellStart"/>
      <w:r w:rsidR="00367569" w:rsidRPr="006D44D5">
        <w:rPr>
          <w:bCs/>
          <w:i/>
        </w:rPr>
        <w:t>pull</w:t>
      </w:r>
      <w:proofErr w:type="spellEnd"/>
      <w:r w:rsidR="00367569" w:rsidRPr="006D44D5">
        <w:rPr>
          <w:bCs/>
          <w:i/>
        </w:rPr>
        <w:t xml:space="preserve"> </w:t>
      </w:r>
      <w:proofErr w:type="spellStart"/>
      <w:r w:rsidR="008153FB" w:rsidRPr="006D44D5">
        <w:rPr>
          <w:bCs/>
          <w:i/>
        </w:rPr>
        <w:t>factors</w:t>
      </w:r>
      <w:proofErr w:type="spellEnd"/>
      <w:r w:rsidR="00504E7A">
        <w:rPr>
          <w:bCs/>
          <w:i/>
        </w:rPr>
        <w:t xml:space="preserve">, </w:t>
      </w:r>
      <w:r w:rsidR="00504E7A">
        <w:rPr>
          <w:bCs/>
        </w:rPr>
        <w:t>sendo que não se encontrou na revisão da literatura empírica tal combinação de variáveis</w:t>
      </w:r>
      <w:r w:rsidR="00E06688">
        <w:rPr>
          <w:bCs/>
        </w:rPr>
        <w:t xml:space="preserve">. </w:t>
      </w:r>
      <w:r w:rsidR="00194FE2">
        <w:rPr>
          <w:bCs/>
        </w:rPr>
        <w:t>Inova</w:t>
      </w:r>
      <w:r w:rsidR="0085777D" w:rsidRPr="000A0093">
        <w:rPr>
          <w:bCs/>
        </w:rPr>
        <w:t>-se</w:t>
      </w:r>
      <w:r w:rsidR="00367569" w:rsidRPr="000A0093">
        <w:rPr>
          <w:bCs/>
        </w:rPr>
        <w:t xml:space="preserve"> </w:t>
      </w:r>
      <w:r w:rsidR="00194FE2">
        <w:rPr>
          <w:bCs/>
        </w:rPr>
        <w:t xml:space="preserve">também </w:t>
      </w:r>
      <w:r w:rsidR="00367569" w:rsidRPr="000A0093">
        <w:rPr>
          <w:bCs/>
        </w:rPr>
        <w:t>com a adoção da variável VIX CBOE</w:t>
      </w:r>
      <w:r w:rsidR="00536EB3">
        <w:rPr>
          <w:bCs/>
        </w:rPr>
        <w:t>,</w:t>
      </w:r>
      <w:r w:rsidR="00194FE2">
        <w:rPr>
          <w:bCs/>
        </w:rPr>
        <w:t xml:space="preserve"> como representação da preferência por liquidez</w:t>
      </w:r>
      <w:r w:rsidR="00E06688">
        <w:rPr>
          <w:bCs/>
        </w:rPr>
        <w:t xml:space="preserve"> dos agentes privados globais</w:t>
      </w:r>
      <w:r w:rsidR="00367569" w:rsidRPr="000A0093">
        <w:rPr>
          <w:bCs/>
        </w:rPr>
        <w:t xml:space="preserve">. </w:t>
      </w:r>
      <w:r w:rsidR="00BE6149">
        <w:rPr>
          <w:bCs/>
        </w:rPr>
        <w:t xml:space="preserve">Ademais, </w:t>
      </w:r>
      <w:r w:rsidR="0085777D" w:rsidRPr="000A0093">
        <w:rPr>
          <w:bCs/>
        </w:rPr>
        <w:t xml:space="preserve">a </w:t>
      </w:r>
      <w:r w:rsidR="00367569" w:rsidRPr="000A0093">
        <w:rPr>
          <w:bCs/>
        </w:rPr>
        <w:t>análise econométrica realizada</w:t>
      </w:r>
      <w:r w:rsidR="0085777D" w:rsidRPr="000A0093">
        <w:rPr>
          <w:bCs/>
        </w:rPr>
        <w:t>, além de robusta e consistente</w:t>
      </w:r>
      <w:r w:rsidR="00367569" w:rsidRPr="000A0093">
        <w:rPr>
          <w:bCs/>
        </w:rPr>
        <w:t xml:space="preserve">, </w:t>
      </w:r>
      <w:r w:rsidR="00C24656">
        <w:rPr>
          <w:bCs/>
        </w:rPr>
        <w:t xml:space="preserve">devido </w:t>
      </w:r>
      <w:r w:rsidR="00043550">
        <w:rPr>
          <w:bCs/>
        </w:rPr>
        <w:t>à</w:t>
      </w:r>
      <w:r w:rsidR="00C24656">
        <w:rPr>
          <w:bCs/>
        </w:rPr>
        <w:t xml:space="preserve"> utilização do</w:t>
      </w:r>
      <w:r w:rsidR="00043550">
        <w:rPr>
          <w:bCs/>
        </w:rPr>
        <w:t xml:space="preserve"> método dos momentos </w:t>
      </w:r>
      <w:proofErr w:type="spellStart"/>
      <w:r w:rsidR="00043550">
        <w:rPr>
          <w:bCs/>
        </w:rPr>
        <w:t>eneralizados</w:t>
      </w:r>
      <w:proofErr w:type="spellEnd"/>
      <w:r w:rsidR="00043550">
        <w:rPr>
          <w:bCs/>
        </w:rPr>
        <w:t>-</w:t>
      </w:r>
      <w:r w:rsidR="003F7D44">
        <w:rPr>
          <w:bCs/>
        </w:rPr>
        <w:t>S</w:t>
      </w:r>
      <w:r w:rsidR="00043550">
        <w:rPr>
          <w:bCs/>
        </w:rPr>
        <w:t xml:space="preserve">istema (MMG-S) </w:t>
      </w:r>
      <w:r w:rsidR="00043550" w:rsidRPr="00043550">
        <w:rPr>
          <w:bCs/>
        </w:rPr>
        <w:t>pela metodologia proposta</w:t>
      </w:r>
      <w:r w:rsidR="00043550">
        <w:rPr>
          <w:bCs/>
          <w:i/>
        </w:rPr>
        <w:t xml:space="preserve"> </w:t>
      </w:r>
      <w:r w:rsidR="00043550">
        <w:t xml:space="preserve">por </w:t>
      </w:r>
      <w:proofErr w:type="spellStart"/>
      <w:r w:rsidR="00043550" w:rsidRPr="007C290D">
        <w:t>Windmeijer</w:t>
      </w:r>
      <w:proofErr w:type="spellEnd"/>
      <w:r w:rsidR="00043550">
        <w:t xml:space="preserve"> (2005),</w:t>
      </w:r>
      <w:r w:rsidR="00043550" w:rsidRPr="00043550">
        <w:rPr>
          <w:bCs/>
          <w:i/>
        </w:rPr>
        <w:t xml:space="preserve"> </w:t>
      </w:r>
      <w:r w:rsidR="00367569" w:rsidRPr="000A0093">
        <w:rPr>
          <w:bCs/>
        </w:rPr>
        <w:t>realiz</w:t>
      </w:r>
      <w:r w:rsidR="00043550">
        <w:rPr>
          <w:bCs/>
        </w:rPr>
        <w:t>ou</w:t>
      </w:r>
      <w:r w:rsidR="00367569" w:rsidRPr="000A0093">
        <w:rPr>
          <w:bCs/>
        </w:rPr>
        <w:t xml:space="preserve"> testes </w:t>
      </w:r>
      <w:r w:rsidR="00043550">
        <w:rPr>
          <w:bCs/>
        </w:rPr>
        <w:t xml:space="preserve">adicionais </w:t>
      </w:r>
      <w:r w:rsidR="00367569" w:rsidRPr="000A0093">
        <w:rPr>
          <w:bCs/>
        </w:rPr>
        <w:t>para averiguar quais variáveis</w:t>
      </w:r>
      <w:r w:rsidR="00043550">
        <w:rPr>
          <w:bCs/>
        </w:rPr>
        <w:t xml:space="preserve"> classificadas como </w:t>
      </w:r>
      <w:proofErr w:type="spellStart"/>
      <w:r w:rsidR="00043550" w:rsidRPr="00043550">
        <w:rPr>
          <w:bCs/>
          <w:i/>
        </w:rPr>
        <w:t>pull-factors</w:t>
      </w:r>
      <w:proofErr w:type="spellEnd"/>
      <w:r w:rsidR="00367569" w:rsidRPr="000A0093">
        <w:rPr>
          <w:bCs/>
        </w:rPr>
        <w:t xml:space="preserve"> seriam significativas para determinar os fluxos de </w:t>
      </w:r>
      <w:r w:rsidR="00BE6149">
        <w:rPr>
          <w:bCs/>
        </w:rPr>
        <w:t>financeiros</w:t>
      </w:r>
      <w:r w:rsidR="00367569" w:rsidRPr="000A0093">
        <w:rPr>
          <w:bCs/>
        </w:rPr>
        <w:t xml:space="preserve"> nos momentos de crise.</w:t>
      </w:r>
      <w:r w:rsidR="00504E7A">
        <w:rPr>
          <w:bCs/>
        </w:rPr>
        <w:t xml:space="preserve"> Em especial, buscou-se averiguar se estratégias defensivas de aumento de reservas internacionais seria eficaz para atenuar os impactos das crises nos fluxos financeiros líquidos. </w:t>
      </w:r>
    </w:p>
    <w:p w14:paraId="5194F8AF" w14:textId="144CB003" w:rsidR="00F611A5" w:rsidRDefault="00F611A5" w:rsidP="00F611A5">
      <w:pPr>
        <w:spacing w:line="480" w:lineRule="auto"/>
        <w:ind w:firstLine="851"/>
        <w:rPr>
          <w:bCs/>
        </w:rPr>
      </w:pPr>
      <w:r>
        <w:rPr>
          <w:bCs/>
        </w:rPr>
        <w:t>Os resultados do estudo empírico realizado sancionam a hipótese sustentada pela abordagem pós-</w:t>
      </w:r>
      <w:proofErr w:type="spellStart"/>
      <w:r>
        <w:rPr>
          <w:bCs/>
        </w:rPr>
        <w:t>keynesiana</w:t>
      </w:r>
      <w:proofErr w:type="spellEnd"/>
      <w:r w:rsidR="008F621A">
        <w:rPr>
          <w:bCs/>
        </w:rPr>
        <w:t xml:space="preserve"> adotada como referencial teórico nesse artigo, qual seja:</w:t>
      </w:r>
      <w:r>
        <w:rPr>
          <w:bCs/>
        </w:rPr>
        <w:t xml:space="preserve"> de que os determinantes externos dos fluxos financeiros para os países em desenvolvimento são mais relevantes do que os determinantes internos. </w:t>
      </w:r>
    </w:p>
    <w:p w14:paraId="6A49EF43" w14:textId="77777777" w:rsidR="008206F4" w:rsidRDefault="008206F4" w:rsidP="00FC2664">
      <w:pPr>
        <w:spacing w:line="480" w:lineRule="auto"/>
        <w:ind w:firstLine="851"/>
        <w:rPr>
          <w:bCs/>
        </w:rPr>
      </w:pPr>
    </w:p>
    <w:p w14:paraId="316CD60D" w14:textId="77777777" w:rsidR="008206F4" w:rsidRDefault="00912ACA" w:rsidP="00FC2664">
      <w:pPr>
        <w:pStyle w:val="Ttulo2"/>
        <w:spacing w:before="0" w:line="480" w:lineRule="auto"/>
        <w:rPr>
          <w:color w:val="auto"/>
        </w:rPr>
      </w:pPr>
      <w:r w:rsidRPr="00912ACA">
        <w:rPr>
          <w:b w:val="0"/>
          <w:bCs w:val="0"/>
          <w:color w:val="auto"/>
        </w:rPr>
        <w:t>1.</w:t>
      </w:r>
      <w:r>
        <w:rPr>
          <w:color w:val="auto"/>
        </w:rPr>
        <w:t xml:space="preserve"> </w:t>
      </w:r>
      <w:r w:rsidR="008206F4" w:rsidRPr="008206F4">
        <w:rPr>
          <w:color w:val="auto"/>
        </w:rPr>
        <w:t>Revisão Te</w:t>
      </w:r>
      <w:r w:rsidR="008206F4">
        <w:rPr>
          <w:color w:val="auto"/>
        </w:rPr>
        <w:t>órica</w:t>
      </w:r>
    </w:p>
    <w:p w14:paraId="375C7C1A" w14:textId="3F05B025" w:rsidR="00561E18" w:rsidRDefault="008F621A" w:rsidP="0097533D">
      <w:pPr>
        <w:spacing w:line="480" w:lineRule="auto"/>
        <w:ind w:firstLine="851"/>
        <w:rPr>
          <w:rFonts w:eastAsiaTheme="minorEastAsia"/>
          <w:bCs/>
          <w:lang w:eastAsia="pt-BR"/>
        </w:rPr>
      </w:pPr>
      <w:r>
        <w:rPr>
          <w:rFonts w:eastAsiaTheme="minorEastAsia"/>
          <w:bCs/>
          <w:lang w:eastAsia="pt-BR"/>
        </w:rPr>
        <w:t>A</w:t>
      </w:r>
      <w:r w:rsidR="005A2A12">
        <w:rPr>
          <w:rFonts w:eastAsiaTheme="minorEastAsia"/>
          <w:bCs/>
          <w:lang w:eastAsia="pt-BR"/>
        </w:rPr>
        <w:t xml:space="preserve"> dinâmica dos fluxos de capitais </w:t>
      </w:r>
      <w:r>
        <w:rPr>
          <w:rFonts w:eastAsiaTheme="minorEastAsia"/>
          <w:bCs/>
          <w:lang w:eastAsia="pt-BR"/>
        </w:rPr>
        <w:t>de natureza financeira (investimentos de portfólio e empréstimos bancários) revelou-se altamente volátil após o colapso do sistema de Bretton Woods, em 1973</w:t>
      </w:r>
      <w:r w:rsidR="00BC5EE6">
        <w:rPr>
          <w:rFonts w:eastAsiaTheme="minorEastAsia"/>
          <w:bCs/>
          <w:lang w:eastAsia="pt-BR"/>
        </w:rPr>
        <w:t xml:space="preserve"> (Andrade e Prates, 2012</w:t>
      </w:r>
      <w:r w:rsidR="000C5DB6">
        <w:rPr>
          <w:rFonts w:eastAsiaTheme="minorEastAsia"/>
          <w:bCs/>
          <w:lang w:eastAsia="pt-BR"/>
        </w:rPr>
        <w:t>)</w:t>
      </w:r>
      <w:r>
        <w:rPr>
          <w:rFonts w:eastAsiaTheme="minorEastAsia"/>
          <w:bCs/>
          <w:lang w:eastAsia="pt-BR"/>
        </w:rPr>
        <w:t>.</w:t>
      </w:r>
      <w:r w:rsidR="005A2A12">
        <w:rPr>
          <w:rFonts w:eastAsiaTheme="minorEastAsia"/>
          <w:bCs/>
          <w:lang w:eastAsia="pt-BR"/>
        </w:rPr>
        <w:t xml:space="preserve"> Es</w:t>
      </w:r>
      <w:r w:rsidR="00F65D17">
        <w:rPr>
          <w:rFonts w:eastAsiaTheme="minorEastAsia"/>
          <w:bCs/>
          <w:lang w:eastAsia="pt-BR"/>
        </w:rPr>
        <w:t>s</w:t>
      </w:r>
      <w:r w:rsidR="005A2A12">
        <w:rPr>
          <w:rFonts w:eastAsiaTheme="minorEastAsia"/>
          <w:bCs/>
          <w:lang w:eastAsia="pt-BR"/>
        </w:rPr>
        <w:t xml:space="preserve">a volatilidade tem uma relação direta com as alterações nas </w:t>
      </w:r>
      <w:r w:rsidR="005A2A12">
        <w:rPr>
          <w:rFonts w:eastAsiaTheme="minorEastAsia"/>
          <w:bCs/>
          <w:lang w:eastAsia="pt-BR"/>
        </w:rPr>
        <w:lastRenderedPageBreak/>
        <w:t>preferências por liqu</w:t>
      </w:r>
      <w:r w:rsidR="00597286">
        <w:rPr>
          <w:rFonts w:eastAsiaTheme="minorEastAsia"/>
          <w:bCs/>
          <w:lang w:eastAsia="pt-BR"/>
        </w:rPr>
        <w:t xml:space="preserve">idez dos agentes </w:t>
      </w:r>
      <w:r w:rsidR="007F5D34">
        <w:rPr>
          <w:rFonts w:eastAsiaTheme="minorEastAsia"/>
          <w:bCs/>
          <w:lang w:eastAsia="pt-BR"/>
        </w:rPr>
        <w:t>privados globais</w:t>
      </w:r>
      <w:r w:rsidR="00597286">
        <w:rPr>
          <w:rFonts w:eastAsiaTheme="minorEastAsia"/>
          <w:bCs/>
          <w:lang w:eastAsia="pt-BR"/>
        </w:rPr>
        <w:t xml:space="preserve">, a qual, por sua vez, </w:t>
      </w:r>
      <w:r w:rsidR="004F2A72">
        <w:rPr>
          <w:rFonts w:eastAsiaTheme="minorEastAsia"/>
          <w:bCs/>
          <w:lang w:eastAsia="pt-BR"/>
        </w:rPr>
        <w:t xml:space="preserve">está ligada </w:t>
      </w:r>
      <w:r w:rsidR="00597286">
        <w:rPr>
          <w:rFonts w:eastAsiaTheme="minorEastAsia"/>
          <w:bCs/>
          <w:lang w:eastAsia="pt-BR"/>
        </w:rPr>
        <w:t>intimamente</w:t>
      </w:r>
      <w:r w:rsidR="004F2A72">
        <w:rPr>
          <w:rFonts w:eastAsiaTheme="minorEastAsia"/>
          <w:bCs/>
          <w:lang w:eastAsia="pt-BR"/>
        </w:rPr>
        <w:t xml:space="preserve"> à </w:t>
      </w:r>
      <w:r w:rsidR="00561E18">
        <w:rPr>
          <w:rFonts w:eastAsiaTheme="minorEastAsia"/>
          <w:bCs/>
          <w:lang w:eastAsia="pt-BR"/>
        </w:rPr>
        <w:t>incerteza</w:t>
      </w:r>
      <w:r w:rsidR="00F65D17">
        <w:rPr>
          <w:rFonts w:eastAsiaTheme="minorEastAsia"/>
          <w:bCs/>
          <w:lang w:eastAsia="pt-BR"/>
        </w:rPr>
        <w:t xml:space="preserve">, </w:t>
      </w:r>
      <w:r w:rsidR="00561E18" w:rsidRPr="00D93F68">
        <w:rPr>
          <w:rFonts w:eastAsiaTheme="minorEastAsia"/>
          <w:bCs/>
          <w:lang w:eastAsia="pt-BR"/>
        </w:rPr>
        <w:t>entendida no sentido empregado por Keynes</w:t>
      </w:r>
      <w:r w:rsidR="00561E18">
        <w:rPr>
          <w:rFonts w:eastAsiaTheme="minorEastAsia"/>
          <w:bCs/>
          <w:lang w:eastAsia="pt-BR"/>
        </w:rPr>
        <w:t xml:space="preserve"> (1937)</w:t>
      </w:r>
      <w:r w:rsidR="00F65D17">
        <w:rPr>
          <w:rFonts w:eastAsiaTheme="minorEastAsia"/>
          <w:bCs/>
          <w:lang w:eastAsia="pt-BR"/>
        </w:rPr>
        <w:t>, qual seja:</w:t>
      </w:r>
      <w:r w:rsidR="00561E18" w:rsidRPr="00D93F68">
        <w:rPr>
          <w:rFonts w:eastAsiaTheme="minorEastAsia"/>
          <w:bCs/>
          <w:lang w:eastAsia="pt-BR"/>
        </w:rPr>
        <w:t xml:space="preserve"> incerteza absoluta</w:t>
      </w:r>
      <w:r w:rsidR="00F65D17">
        <w:rPr>
          <w:rFonts w:eastAsiaTheme="minorEastAsia"/>
          <w:bCs/>
          <w:lang w:eastAsia="pt-BR"/>
        </w:rPr>
        <w:t>, que</w:t>
      </w:r>
      <w:r w:rsidR="00561E18" w:rsidRPr="00D93F68">
        <w:rPr>
          <w:rFonts w:eastAsiaTheme="minorEastAsia"/>
          <w:bCs/>
          <w:lang w:eastAsia="pt-BR"/>
        </w:rPr>
        <w:t xml:space="preserve"> não pode ser confundida com risco</w:t>
      </w:r>
      <w:r w:rsidR="007C00F6">
        <w:rPr>
          <w:rFonts w:eastAsiaTheme="minorEastAsia"/>
          <w:bCs/>
          <w:lang w:eastAsia="pt-BR"/>
        </w:rPr>
        <w:t xml:space="preserve"> probabilístico</w:t>
      </w:r>
      <w:r w:rsidR="007C00F6">
        <w:rPr>
          <w:rStyle w:val="Refdenotaderodap"/>
          <w:rFonts w:eastAsiaTheme="minorEastAsia"/>
          <w:bCs/>
          <w:lang w:eastAsia="pt-BR"/>
        </w:rPr>
        <w:footnoteReference w:id="5"/>
      </w:r>
      <w:r w:rsidR="0097533D">
        <w:rPr>
          <w:rFonts w:eastAsiaTheme="minorEastAsia"/>
          <w:bCs/>
          <w:lang w:eastAsia="pt-BR"/>
        </w:rPr>
        <w:t xml:space="preserve">. </w:t>
      </w:r>
      <w:r w:rsidR="0097533D" w:rsidRPr="0097533D">
        <w:rPr>
          <w:rFonts w:eastAsiaTheme="minorEastAsia"/>
          <w:bCs/>
          <w:lang w:eastAsia="pt-BR"/>
        </w:rPr>
        <w:t xml:space="preserve">Probabilidades são calculadas a partir de repetidas experiências em que são mantidas as mesmas condições. Para eventos macroeconômicos, </w:t>
      </w:r>
      <w:proofErr w:type="gramStart"/>
      <w:r w:rsidR="0097533D" w:rsidRPr="0097533D">
        <w:rPr>
          <w:rFonts w:eastAsiaTheme="minorEastAsia"/>
          <w:bCs/>
          <w:lang w:eastAsia="pt-BR"/>
        </w:rPr>
        <w:t>as condições para</w:t>
      </w:r>
      <w:proofErr w:type="gramEnd"/>
      <w:r w:rsidR="0097533D" w:rsidRPr="0097533D">
        <w:rPr>
          <w:rFonts w:eastAsiaTheme="minorEastAsia"/>
          <w:bCs/>
          <w:lang w:eastAsia="pt-BR"/>
        </w:rPr>
        <w:t xml:space="preserve"> se formar as probabilidades não seriam válidas. Isto porque, mesmo que se tenham informações sobre o passado e o presente, não há qualquer garantia de que as condições seriam mantidas no futuro (Davidson, 1983</w:t>
      </w:r>
      <w:proofErr w:type="gramStart"/>
      <w:r w:rsidR="0097533D">
        <w:rPr>
          <w:rFonts w:eastAsiaTheme="minorEastAsia"/>
          <w:bCs/>
          <w:lang w:eastAsia="pt-BR"/>
        </w:rPr>
        <w:t>)</w:t>
      </w:r>
      <w:proofErr w:type="gramEnd"/>
      <w:r w:rsidR="00561E18">
        <w:rPr>
          <w:rStyle w:val="Refdenotaderodap"/>
          <w:rFonts w:eastAsiaTheme="minorEastAsia"/>
          <w:bCs/>
          <w:lang w:eastAsia="pt-BR"/>
        </w:rPr>
        <w:footnoteReference w:id="6"/>
      </w:r>
      <w:r w:rsidR="00561E18" w:rsidRPr="00D93F68">
        <w:rPr>
          <w:rFonts w:eastAsiaTheme="minorEastAsia"/>
          <w:bCs/>
          <w:lang w:eastAsia="pt-BR"/>
        </w:rPr>
        <w:t>.</w:t>
      </w:r>
    </w:p>
    <w:p w14:paraId="7211C0F1" w14:textId="4DC3C80E" w:rsidR="004F2A72" w:rsidRDefault="000A3C3A" w:rsidP="00FC2664">
      <w:pPr>
        <w:spacing w:line="480" w:lineRule="auto"/>
        <w:ind w:firstLine="851"/>
        <w:rPr>
          <w:rFonts w:eastAsiaTheme="minorEastAsia"/>
          <w:bCs/>
          <w:szCs w:val="20"/>
          <w:lang w:eastAsia="pt-BR"/>
        </w:rPr>
      </w:pPr>
      <w:r>
        <w:rPr>
          <w:rFonts w:eastAsiaTheme="minorEastAsia"/>
          <w:bCs/>
          <w:szCs w:val="20"/>
          <w:lang w:eastAsia="pt-BR"/>
        </w:rPr>
        <w:t>A</w:t>
      </w:r>
      <w:r w:rsidR="00561E18">
        <w:rPr>
          <w:rFonts w:eastAsiaTheme="minorEastAsia"/>
          <w:bCs/>
          <w:szCs w:val="20"/>
          <w:lang w:eastAsia="pt-BR"/>
        </w:rPr>
        <w:t xml:space="preserve"> preferência por liquidez </w:t>
      </w:r>
      <w:r>
        <w:rPr>
          <w:rFonts w:eastAsiaTheme="minorEastAsia"/>
          <w:bCs/>
          <w:szCs w:val="20"/>
          <w:lang w:eastAsia="pt-BR"/>
        </w:rPr>
        <w:t xml:space="preserve">reflete o desejo de um agente de manter uma </w:t>
      </w:r>
      <w:r w:rsidR="00561E18">
        <w:rPr>
          <w:rFonts w:eastAsiaTheme="minorEastAsia"/>
          <w:bCs/>
          <w:szCs w:val="20"/>
          <w:lang w:eastAsia="pt-BR"/>
        </w:rPr>
        <w:t xml:space="preserve">parcela </w:t>
      </w:r>
      <w:r w:rsidR="000C5DB6">
        <w:rPr>
          <w:rFonts w:eastAsiaTheme="minorEastAsia"/>
          <w:bCs/>
          <w:szCs w:val="20"/>
          <w:lang w:eastAsia="pt-BR"/>
        </w:rPr>
        <w:t xml:space="preserve">ou </w:t>
      </w:r>
      <w:proofErr w:type="gramStart"/>
      <w:r w:rsidR="000C5DB6">
        <w:rPr>
          <w:rFonts w:eastAsiaTheme="minorEastAsia"/>
          <w:bCs/>
          <w:szCs w:val="20"/>
          <w:lang w:eastAsia="pt-BR"/>
        </w:rPr>
        <w:t xml:space="preserve">totalidade </w:t>
      </w:r>
      <w:r w:rsidR="00561E18">
        <w:rPr>
          <w:rFonts w:eastAsiaTheme="minorEastAsia"/>
          <w:bCs/>
          <w:szCs w:val="20"/>
          <w:lang w:eastAsia="pt-BR"/>
        </w:rPr>
        <w:t>d</w:t>
      </w:r>
      <w:r w:rsidR="000C5DB6">
        <w:rPr>
          <w:rFonts w:eastAsiaTheme="minorEastAsia"/>
          <w:bCs/>
          <w:szCs w:val="20"/>
          <w:lang w:eastAsia="pt-BR"/>
        </w:rPr>
        <w:t xml:space="preserve">a sua riqueza financeira em moeda ou </w:t>
      </w:r>
      <w:r w:rsidR="00561E18">
        <w:rPr>
          <w:rFonts w:eastAsiaTheme="minorEastAsia"/>
          <w:bCs/>
          <w:szCs w:val="20"/>
          <w:lang w:eastAsia="pt-BR"/>
        </w:rPr>
        <w:t>ativos líquid</w:t>
      </w:r>
      <w:r w:rsidR="000C5DB6">
        <w:rPr>
          <w:rFonts w:eastAsiaTheme="minorEastAsia"/>
          <w:bCs/>
          <w:szCs w:val="20"/>
          <w:lang w:eastAsia="pt-BR"/>
        </w:rPr>
        <w:t>os</w:t>
      </w:r>
      <w:proofErr w:type="gramEnd"/>
      <w:r w:rsidR="00975142">
        <w:rPr>
          <w:rFonts w:eastAsiaTheme="minorEastAsia"/>
          <w:bCs/>
          <w:szCs w:val="20"/>
          <w:lang w:eastAsia="pt-BR"/>
        </w:rPr>
        <w:t xml:space="preserve">. </w:t>
      </w:r>
      <w:r>
        <w:rPr>
          <w:rFonts w:eastAsiaTheme="minorEastAsia"/>
          <w:bCs/>
          <w:szCs w:val="20"/>
          <w:lang w:eastAsia="pt-BR"/>
        </w:rPr>
        <w:t>O grau de preferência por liquidez está diretamente associado à</w:t>
      </w:r>
      <w:r w:rsidR="004F2A72" w:rsidRPr="0086494C">
        <w:rPr>
          <w:rFonts w:eastAsiaTheme="minorEastAsia"/>
          <w:bCs/>
          <w:szCs w:val="20"/>
          <w:lang w:eastAsia="pt-BR"/>
        </w:rPr>
        <w:t xml:space="preserve"> incerteza</w:t>
      </w:r>
      <w:r>
        <w:rPr>
          <w:rFonts w:eastAsiaTheme="minorEastAsia"/>
          <w:bCs/>
          <w:szCs w:val="20"/>
          <w:lang w:eastAsia="pt-BR"/>
        </w:rPr>
        <w:t>, que</w:t>
      </w:r>
      <w:r w:rsidR="004F2A72" w:rsidRPr="0086494C">
        <w:rPr>
          <w:rFonts w:eastAsiaTheme="minorEastAsia"/>
          <w:bCs/>
          <w:szCs w:val="20"/>
          <w:lang w:eastAsia="pt-BR"/>
        </w:rPr>
        <w:t xml:space="preserve"> afeta </w:t>
      </w:r>
      <w:r w:rsidR="00827B0C">
        <w:rPr>
          <w:rFonts w:eastAsiaTheme="minorEastAsia"/>
          <w:bCs/>
          <w:szCs w:val="20"/>
          <w:lang w:eastAsia="pt-BR"/>
        </w:rPr>
        <w:t xml:space="preserve">as decisões dos agentes nas esferas </w:t>
      </w:r>
      <w:r w:rsidR="004F2A72" w:rsidRPr="0086494C">
        <w:rPr>
          <w:rFonts w:eastAsiaTheme="minorEastAsia"/>
          <w:bCs/>
          <w:szCs w:val="20"/>
          <w:lang w:eastAsia="pt-BR"/>
        </w:rPr>
        <w:t>industrial</w:t>
      </w:r>
      <w:r w:rsidR="00827B0C">
        <w:rPr>
          <w:rFonts w:eastAsiaTheme="minorEastAsia"/>
          <w:bCs/>
          <w:szCs w:val="20"/>
          <w:lang w:eastAsia="pt-BR"/>
        </w:rPr>
        <w:t xml:space="preserve"> e </w:t>
      </w:r>
      <w:r w:rsidR="004F2A72" w:rsidRPr="0086494C">
        <w:rPr>
          <w:rFonts w:eastAsiaTheme="minorEastAsia"/>
          <w:bCs/>
          <w:szCs w:val="20"/>
          <w:lang w:eastAsia="pt-BR"/>
        </w:rPr>
        <w:t xml:space="preserve">financeira. Na esfera industrial, as pessoas necessitam de liquidez para honrar seus compromissos correntes (motivo-renda e </w:t>
      </w:r>
      <w:proofErr w:type="spellStart"/>
      <w:r w:rsidR="00526354" w:rsidRPr="00526354">
        <w:rPr>
          <w:rFonts w:eastAsiaTheme="minorEastAsia"/>
          <w:bCs/>
          <w:i/>
          <w:szCs w:val="20"/>
          <w:lang w:eastAsia="pt-BR"/>
        </w:rPr>
        <w:t>finance</w:t>
      </w:r>
      <w:proofErr w:type="spellEnd"/>
      <w:r w:rsidR="00526354">
        <w:rPr>
          <w:rFonts w:eastAsiaTheme="minorEastAsia"/>
          <w:bCs/>
          <w:szCs w:val="20"/>
          <w:lang w:eastAsia="pt-BR"/>
        </w:rPr>
        <w:t>) e</w:t>
      </w:r>
      <w:r w:rsidR="004F2A72" w:rsidRPr="0086494C">
        <w:rPr>
          <w:rFonts w:eastAsiaTheme="minorEastAsia"/>
          <w:bCs/>
          <w:szCs w:val="20"/>
          <w:lang w:eastAsia="pt-BR"/>
        </w:rPr>
        <w:t xml:space="preserve"> futuros (motivo-precaução), os quais podem ser despesas ou oportunidades inesperadas.</w:t>
      </w:r>
      <w:r w:rsidR="004F2A72">
        <w:rPr>
          <w:rFonts w:eastAsiaTheme="minorEastAsia"/>
          <w:bCs/>
          <w:szCs w:val="20"/>
          <w:lang w:eastAsia="pt-BR"/>
        </w:rPr>
        <w:t xml:space="preserve"> </w:t>
      </w:r>
      <w:r w:rsidR="00242E94">
        <w:rPr>
          <w:rFonts w:eastAsiaTheme="minorEastAsia"/>
          <w:bCs/>
          <w:szCs w:val="20"/>
          <w:lang w:eastAsia="pt-BR"/>
        </w:rPr>
        <w:t>E</w:t>
      </w:r>
      <w:r w:rsidR="004F2A72">
        <w:rPr>
          <w:rFonts w:eastAsiaTheme="minorEastAsia"/>
          <w:bCs/>
          <w:szCs w:val="20"/>
          <w:lang w:eastAsia="pt-BR"/>
        </w:rPr>
        <w:t>ste último motivo</w:t>
      </w:r>
      <w:r w:rsidR="00242E94">
        <w:rPr>
          <w:rFonts w:eastAsiaTheme="minorEastAsia"/>
          <w:bCs/>
          <w:szCs w:val="20"/>
          <w:lang w:eastAsia="pt-BR"/>
        </w:rPr>
        <w:t>, que</w:t>
      </w:r>
      <w:r w:rsidR="00526354">
        <w:rPr>
          <w:rFonts w:eastAsiaTheme="minorEastAsia"/>
          <w:bCs/>
          <w:szCs w:val="20"/>
          <w:lang w:eastAsia="pt-BR"/>
        </w:rPr>
        <w:t xml:space="preserve"> </w:t>
      </w:r>
      <w:r w:rsidR="008C4E90">
        <w:rPr>
          <w:rFonts w:eastAsiaTheme="minorEastAsia"/>
          <w:bCs/>
          <w:szCs w:val="20"/>
          <w:lang w:eastAsia="pt-BR"/>
        </w:rPr>
        <w:t>está relacionado com a preferência por liquidez</w:t>
      </w:r>
      <w:r w:rsidR="00242E94">
        <w:rPr>
          <w:rFonts w:eastAsiaTheme="minorEastAsia"/>
          <w:bCs/>
          <w:szCs w:val="20"/>
          <w:lang w:eastAsia="pt-BR"/>
        </w:rPr>
        <w:t>, é</w:t>
      </w:r>
      <w:r w:rsidR="008C4E90">
        <w:rPr>
          <w:rFonts w:eastAsiaTheme="minorEastAsia"/>
          <w:bCs/>
          <w:szCs w:val="20"/>
          <w:lang w:eastAsia="pt-BR"/>
        </w:rPr>
        <w:t xml:space="preserve"> o</w:t>
      </w:r>
      <w:r w:rsidR="004F2A72">
        <w:rPr>
          <w:rFonts w:eastAsiaTheme="minorEastAsia"/>
          <w:bCs/>
          <w:szCs w:val="20"/>
          <w:lang w:eastAsia="pt-BR"/>
        </w:rPr>
        <w:t xml:space="preserve"> mais sensível às</w:t>
      </w:r>
      <w:r w:rsidR="00BA6B6A">
        <w:rPr>
          <w:rFonts w:eastAsiaTheme="minorEastAsia"/>
          <w:bCs/>
          <w:szCs w:val="20"/>
          <w:lang w:eastAsia="pt-BR"/>
        </w:rPr>
        <w:t xml:space="preserve"> variações n</w:t>
      </w:r>
      <w:r w:rsidR="00827B0C">
        <w:rPr>
          <w:rFonts w:eastAsiaTheme="minorEastAsia"/>
          <w:bCs/>
          <w:szCs w:val="20"/>
          <w:lang w:eastAsia="pt-BR"/>
        </w:rPr>
        <w:t>o grau de confiança dos agentes em suas previsões</w:t>
      </w:r>
      <w:r w:rsidR="004F2A72">
        <w:rPr>
          <w:rFonts w:eastAsiaTheme="minorEastAsia"/>
          <w:bCs/>
          <w:szCs w:val="20"/>
          <w:lang w:eastAsia="pt-BR"/>
        </w:rPr>
        <w:t>.</w:t>
      </w:r>
      <w:r w:rsidR="00770A3C">
        <w:rPr>
          <w:rFonts w:eastAsiaTheme="minorEastAsia"/>
          <w:bCs/>
          <w:szCs w:val="20"/>
          <w:lang w:eastAsia="pt-BR"/>
        </w:rPr>
        <w:t xml:space="preserve"> Já n</w:t>
      </w:r>
      <w:r w:rsidR="004F2A72" w:rsidRPr="0086494C">
        <w:rPr>
          <w:rFonts w:eastAsiaTheme="minorEastAsia"/>
          <w:bCs/>
          <w:szCs w:val="20"/>
          <w:lang w:eastAsia="pt-BR"/>
        </w:rPr>
        <w:t>a esfera financeira, o motivo especulação está relacionado com a tentativa de melhor interpretação d</w:t>
      </w:r>
      <w:r w:rsidR="00242E94">
        <w:rPr>
          <w:rFonts w:eastAsiaTheme="minorEastAsia"/>
          <w:bCs/>
          <w:szCs w:val="20"/>
          <w:lang w:eastAsia="pt-BR"/>
        </w:rPr>
        <w:t>o</w:t>
      </w:r>
      <w:r w:rsidR="004F2A72" w:rsidRPr="0086494C">
        <w:rPr>
          <w:rFonts w:eastAsiaTheme="minorEastAsia"/>
          <w:bCs/>
          <w:szCs w:val="20"/>
          <w:lang w:eastAsia="pt-BR"/>
        </w:rPr>
        <w:t xml:space="preserve"> que ocorrerá no futuro. </w:t>
      </w:r>
      <w:r w:rsidR="00242E94">
        <w:rPr>
          <w:rFonts w:eastAsiaTheme="minorEastAsia"/>
          <w:bCs/>
          <w:szCs w:val="20"/>
          <w:lang w:eastAsia="pt-BR"/>
        </w:rPr>
        <w:t>A i</w:t>
      </w:r>
      <w:r w:rsidR="004F2A72" w:rsidRPr="0086494C">
        <w:rPr>
          <w:rFonts w:eastAsiaTheme="minorEastAsia"/>
          <w:bCs/>
          <w:szCs w:val="20"/>
          <w:lang w:eastAsia="pt-BR"/>
        </w:rPr>
        <w:t xml:space="preserve">ncerteza quanto à taxa de juros futura afeta a </w:t>
      </w:r>
      <w:r w:rsidR="008C4E90">
        <w:rPr>
          <w:rFonts w:eastAsiaTheme="minorEastAsia"/>
          <w:bCs/>
          <w:szCs w:val="20"/>
          <w:lang w:eastAsia="pt-BR"/>
        </w:rPr>
        <w:t>preferência</w:t>
      </w:r>
      <w:r w:rsidR="004F2A72" w:rsidRPr="0086494C">
        <w:rPr>
          <w:rFonts w:eastAsiaTheme="minorEastAsia"/>
          <w:bCs/>
          <w:szCs w:val="20"/>
          <w:lang w:eastAsia="pt-BR"/>
        </w:rPr>
        <w:t xml:space="preserve"> por liquidez no presente</w:t>
      </w:r>
      <w:r w:rsidR="00242E94">
        <w:rPr>
          <w:rFonts w:eastAsiaTheme="minorEastAsia"/>
          <w:bCs/>
          <w:szCs w:val="20"/>
          <w:lang w:eastAsia="pt-BR"/>
        </w:rPr>
        <w:t>. Isto porque</w:t>
      </w:r>
      <w:r w:rsidR="004F2A72" w:rsidRPr="0086494C">
        <w:rPr>
          <w:rFonts w:eastAsiaTheme="minorEastAsia"/>
          <w:bCs/>
          <w:szCs w:val="20"/>
          <w:lang w:eastAsia="pt-BR"/>
        </w:rPr>
        <w:t xml:space="preserve"> se uma </w:t>
      </w:r>
      <w:r w:rsidR="00242E94">
        <w:rPr>
          <w:rFonts w:eastAsiaTheme="minorEastAsia"/>
          <w:bCs/>
          <w:szCs w:val="20"/>
          <w:lang w:eastAsia="pt-BR"/>
        </w:rPr>
        <w:t xml:space="preserve">redução </w:t>
      </w:r>
      <w:r w:rsidR="004F2A72" w:rsidRPr="0086494C">
        <w:rPr>
          <w:rFonts w:eastAsiaTheme="minorEastAsia"/>
          <w:bCs/>
          <w:szCs w:val="20"/>
          <w:lang w:eastAsia="pt-BR"/>
        </w:rPr>
        <w:t xml:space="preserve">na taxa de juros </w:t>
      </w:r>
      <w:r w:rsidR="00242E94">
        <w:rPr>
          <w:rFonts w:eastAsiaTheme="minorEastAsia"/>
          <w:bCs/>
          <w:szCs w:val="20"/>
          <w:lang w:eastAsia="pt-BR"/>
        </w:rPr>
        <w:t xml:space="preserve">vigente </w:t>
      </w:r>
      <w:proofErr w:type="gramStart"/>
      <w:r w:rsidR="00242E94">
        <w:rPr>
          <w:rFonts w:eastAsiaTheme="minorEastAsia"/>
          <w:bCs/>
          <w:szCs w:val="20"/>
          <w:lang w:eastAsia="pt-BR"/>
        </w:rPr>
        <w:t>resultar</w:t>
      </w:r>
      <w:proofErr w:type="gramEnd"/>
      <w:r w:rsidR="00242E94">
        <w:rPr>
          <w:rFonts w:eastAsiaTheme="minorEastAsia"/>
          <w:bCs/>
          <w:szCs w:val="20"/>
          <w:lang w:eastAsia="pt-BR"/>
        </w:rPr>
        <w:t xml:space="preserve"> n</w:t>
      </w:r>
      <w:r w:rsidR="004F2A72" w:rsidRPr="0086494C">
        <w:rPr>
          <w:rFonts w:eastAsiaTheme="minorEastAsia"/>
          <w:bCs/>
          <w:szCs w:val="20"/>
          <w:lang w:eastAsia="pt-BR"/>
        </w:rPr>
        <w:t>uma aposta de elevação dessa taxa no futuro</w:t>
      </w:r>
      <w:r w:rsidR="00242E94">
        <w:rPr>
          <w:rFonts w:eastAsiaTheme="minorEastAsia"/>
          <w:bCs/>
          <w:szCs w:val="20"/>
          <w:lang w:eastAsia="pt-BR"/>
        </w:rPr>
        <w:t xml:space="preserve"> (ou seja, </w:t>
      </w:r>
      <w:r w:rsidR="00242E94" w:rsidRPr="0086494C">
        <w:rPr>
          <w:rFonts w:eastAsiaTheme="minorEastAsia"/>
          <w:bCs/>
          <w:szCs w:val="20"/>
          <w:lang w:eastAsia="pt-BR"/>
        </w:rPr>
        <w:t>queda do</w:t>
      </w:r>
      <w:r w:rsidR="00242E94">
        <w:rPr>
          <w:rFonts w:eastAsiaTheme="minorEastAsia"/>
          <w:bCs/>
          <w:szCs w:val="20"/>
          <w:lang w:eastAsia="pt-BR"/>
        </w:rPr>
        <w:t xml:space="preserve"> preço do</w:t>
      </w:r>
      <w:r w:rsidR="00242E94" w:rsidRPr="0086494C">
        <w:rPr>
          <w:rFonts w:eastAsiaTheme="minorEastAsia"/>
          <w:bCs/>
          <w:szCs w:val="20"/>
          <w:lang w:eastAsia="pt-BR"/>
        </w:rPr>
        <w:t>s títulos</w:t>
      </w:r>
      <w:r w:rsidR="00242E94">
        <w:rPr>
          <w:rFonts w:eastAsiaTheme="minorEastAsia"/>
          <w:bCs/>
          <w:szCs w:val="20"/>
          <w:lang w:eastAsia="pt-BR"/>
        </w:rPr>
        <w:t>)</w:t>
      </w:r>
      <w:r w:rsidR="004F2A72" w:rsidRPr="0086494C">
        <w:rPr>
          <w:rFonts w:eastAsiaTheme="minorEastAsia"/>
          <w:bCs/>
          <w:szCs w:val="20"/>
          <w:lang w:eastAsia="pt-BR"/>
        </w:rPr>
        <w:t>, as pessoas preferirão manter sua riqueza na forma monetária</w:t>
      </w:r>
      <w:r w:rsidR="00A75CFC">
        <w:rPr>
          <w:rFonts w:eastAsiaTheme="minorEastAsia"/>
          <w:bCs/>
          <w:szCs w:val="20"/>
          <w:lang w:eastAsia="pt-BR"/>
        </w:rPr>
        <w:t xml:space="preserve"> </w:t>
      </w:r>
      <w:r w:rsidR="00770A3C">
        <w:rPr>
          <w:rFonts w:eastAsiaTheme="minorEastAsia"/>
          <w:bCs/>
          <w:szCs w:val="20"/>
          <w:lang w:eastAsia="pt-BR"/>
        </w:rPr>
        <w:t>(</w:t>
      </w:r>
      <w:r w:rsidR="00770A3C" w:rsidRPr="00827B0C">
        <w:rPr>
          <w:rFonts w:eastAsiaTheme="minorEastAsia"/>
          <w:bCs/>
          <w:szCs w:val="20"/>
          <w:lang w:eastAsia="pt-BR"/>
        </w:rPr>
        <w:t>K</w:t>
      </w:r>
      <w:r w:rsidR="00BC5EE6">
        <w:rPr>
          <w:rFonts w:eastAsiaTheme="minorEastAsia"/>
          <w:bCs/>
          <w:szCs w:val="20"/>
          <w:lang w:eastAsia="pt-BR"/>
        </w:rPr>
        <w:t>eynes</w:t>
      </w:r>
      <w:r w:rsidR="00770A3C" w:rsidRPr="00827B0C">
        <w:rPr>
          <w:rFonts w:eastAsiaTheme="minorEastAsia"/>
          <w:bCs/>
          <w:szCs w:val="20"/>
          <w:lang w:eastAsia="pt-BR"/>
        </w:rPr>
        <w:t xml:space="preserve">, </w:t>
      </w:r>
      <w:r w:rsidR="009353CC">
        <w:rPr>
          <w:rFonts w:eastAsiaTheme="minorEastAsia"/>
          <w:bCs/>
          <w:szCs w:val="20"/>
          <w:lang w:eastAsia="pt-BR"/>
        </w:rPr>
        <w:t>1983</w:t>
      </w:r>
      <w:r w:rsidR="00770A3C">
        <w:rPr>
          <w:rFonts w:eastAsiaTheme="minorEastAsia"/>
          <w:bCs/>
          <w:szCs w:val="20"/>
          <w:lang w:eastAsia="pt-BR"/>
        </w:rPr>
        <w:t>)</w:t>
      </w:r>
      <w:r w:rsidR="004F2A72" w:rsidRPr="0086494C">
        <w:rPr>
          <w:rFonts w:eastAsiaTheme="minorEastAsia"/>
          <w:bCs/>
          <w:szCs w:val="20"/>
          <w:lang w:eastAsia="pt-BR"/>
        </w:rPr>
        <w:t>.</w:t>
      </w:r>
    </w:p>
    <w:p w14:paraId="2E23D30A" w14:textId="28FE4B4D" w:rsidR="00770A3C" w:rsidRPr="002D4633" w:rsidRDefault="00770A3C" w:rsidP="002D4633">
      <w:pPr>
        <w:spacing w:line="480" w:lineRule="auto"/>
        <w:ind w:firstLine="851"/>
        <w:rPr>
          <w:rFonts w:eastAsiaTheme="minorEastAsia"/>
          <w:bCs/>
          <w:szCs w:val="20"/>
          <w:lang w:eastAsia="pt-BR"/>
        </w:rPr>
      </w:pPr>
      <w:r>
        <w:rPr>
          <w:rFonts w:eastAsiaTheme="minorEastAsia"/>
          <w:bCs/>
          <w:szCs w:val="20"/>
          <w:lang w:eastAsia="pt-BR"/>
        </w:rPr>
        <w:t xml:space="preserve">Para uma melhor compreensão do comportamento dos agentes </w:t>
      </w:r>
      <w:r w:rsidR="005D1029">
        <w:rPr>
          <w:rFonts w:eastAsiaTheme="minorEastAsia"/>
          <w:bCs/>
          <w:szCs w:val="20"/>
          <w:lang w:eastAsia="pt-BR"/>
        </w:rPr>
        <w:t xml:space="preserve">privados </w:t>
      </w:r>
      <w:r>
        <w:rPr>
          <w:rFonts w:eastAsiaTheme="minorEastAsia"/>
          <w:bCs/>
          <w:szCs w:val="20"/>
          <w:lang w:eastAsia="pt-BR"/>
        </w:rPr>
        <w:t>relacionado</w:t>
      </w:r>
      <w:r w:rsidR="005D1029">
        <w:rPr>
          <w:rFonts w:eastAsiaTheme="minorEastAsia"/>
          <w:bCs/>
          <w:szCs w:val="20"/>
          <w:lang w:eastAsia="pt-BR"/>
        </w:rPr>
        <w:t xml:space="preserve"> a</w:t>
      </w:r>
      <w:r>
        <w:rPr>
          <w:rFonts w:eastAsiaTheme="minorEastAsia"/>
          <w:bCs/>
          <w:szCs w:val="20"/>
          <w:lang w:eastAsia="pt-BR"/>
        </w:rPr>
        <w:t>o motivo especulação,</w:t>
      </w:r>
      <w:r w:rsidR="005D1029">
        <w:rPr>
          <w:rFonts w:eastAsiaTheme="minorEastAsia"/>
          <w:bCs/>
          <w:szCs w:val="20"/>
          <w:lang w:eastAsia="pt-BR"/>
        </w:rPr>
        <w:t xml:space="preserve"> cabe uma explicação </w:t>
      </w:r>
      <w:r w:rsidR="00AF3873">
        <w:rPr>
          <w:rFonts w:eastAsiaTheme="minorEastAsia"/>
          <w:bCs/>
          <w:szCs w:val="20"/>
          <w:lang w:eastAsia="pt-BR"/>
        </w:rPr>
        <w:t xml:space="preserve">de como eles </w:t>
      </w:r>
      <w:r w:rsidR="00A7555F">
        <w:rPr>
          <w:rFonts w:eastAsiaTheme="minorEastAsia"/>
          <w:bCs/>
          <w:szCs w:val="20"/>
          <w:lang w:eastAsia="pt-BR"/>
        </w:rPr>
        <w:t>reagem diante</w:t>
      </w:r>
      <w:r w:rsidR="00AF3873">
        <w:rPr>
          <w:rFonts w:eastAsiaTheme="minorEastAsia"/>
          <w:bCs/>
          <w:szCs w:val="20"/>
          <w:lang w:eastAsia="pt-BR"/>
        </w:rPr>
        <w:t xml:space="preserve"> da</w:t>
      </w:r>
      <w:r w:rsidRPr="006122DA">
        <w:rPr>
          <w:rFonts w:eastAsiaTheme="minorEastAsia"/>
          <w:bCs/>
          <w:szCs w:val="20"/>
          <w:lang w:eastAsia="pt-BR"/>
        </w:rPr>
        <w:t xml:space="preserve"> impossibilidade de realizar previsões confiáveis a respeito do fut</w:t>
      </w:r>
      <w:r w:rsidR="009353CC">
        <w:rPr>
          <w:rFonts w:eastAsiaTheme="minorEastAsia"/>
          <w:bCs/>
          <w:szCs w:val="20"/>
          <w:lang w:eastAsia="pt-BR"/>
        </w:rPr>
        <w:t>uro. De acordo com Keynes (1937</w:t>
      </w:r>
      <w:r w:rsidRPr="006122DA">
        <w:rPr>
          <w:rFonts w:eastAsiaTheme="minorEastAsia"/>
          <w:bCs/>
          <w:szCs w:val="20"/>
          <w:lang w:eastAsia="pt-BR"/>
        </w:rPr>
        <w:t xml:space="preserve">, p. 114), o agente </w:t>
      </w:r>
      <w:r w:rsidRPr="006122DA">
        <w:rPr>
          <w:rFonts w:eastAsiaTheme="minorEastAsia"/>
          <w:bCs/>
          <w:szCs w:val="20"/>
          <w:lang w:eastAsia="pt-BR"/>
        </w:rPr>
        <w:lastRenderedPageBreak/>
        <w:t>econômico utilizaria</w:t>
      </w:r>
      <w:r w:rsidR="001512B0">
        <w:rPr>
          <w:rFonts w:eastAsiaTheme="minorEastAsia"/>
          <w:bCs/>
          <w:szCs w:val="20"/>
          <w:lang w:eastAsia="pt-BR"/>
        </w:rPr>
        <w:t>,</w:t>
      </w:r>
      <w:r w:rsidRPr="006122DA">
        <w:rPr>
          <w:rFonts w:eastAsiaTheme="minorEastAsia"/>
          <w:bCs/>
          <w:szCs w:val="20"/>
          <w:lang w:eastAsia="pt-BR"/>
        </w:rPr>
        <w:t xml:space="preserve"> principalmente</w:t>
      </w:r>
      <w:r w:rsidR="001512B0">
        <w:rPr>
          <w:rFonts w:eastAsiaTheme="minorEastAsia"/>
          <w:bCs/>
          <w:szCs w:val="20"/>
          <w:lang w:eastAsia="pt-BR"/>
        </w:rPr>
        <w:t>,</w:t>
      </w:r>
      <w:r w:rsidRPr="006122DA">
        <w:rPr>
          <w:rFonts w:eastAsiaTheme="minorEastAsia"/>
          <w:bCs/>
          <w:szCs w:val="20"/>
          <w:lang w:eastAsia="pt-BR"/>
        </w:rPr>
        <w:t xml:space="preserve"> os seguintes mecanismos na tomada de decisão</w:t>
      </w:r>
      <w:r w:rsidR="00AF3873">
        <w:rPr>
          <w:rFonts w:eastAsiaTheme="minorEastAsia"/>
          <w:bCs/>
          <w:szCs w:val="20"/>
          <w:lang w:eastAsia="pt-BR"/>
        </w:rPr>
        <w:t xml:space="preserve"> sob condições de incerteza</w:t>
      </w:r>
      <w:r>
        <w:rPr>
          <w:rFonts w:eastAsiaTheme="minorEastAsia"/>
          <w:bCs/>
          <w:szCs w:val="20"/>
          <w:lang w:eastAsia="pt-BR"/>
        </w:rPr>
        <w:t xml:space="preserve">: i) o presente é um melhor guia para o futuro do que as experiências passadas; </w:t>
      </w:r>
      <w:proofErr w:type="spellStart"/>
      <w:proofErr w:type="gramStart"/>
      <w:r>
        <w:rPr>
          <w:rFonts w:eastAsiaTheme="minorEastAsia"/>
          <w:bCs/>
          <w:szCs w:val="20"/>
          <w:lang w:eastAsia="pt-BR"/>
        </w:rPr>
        <w:t>ii</w:t>
      </w:r>
      <w:proofErr w:type="spellEnd"/>
      <w:proofErr w:type="gramEnd"/>
      <w:r>
        <w:rPr>
          <w:rFonts w:eastAsiaTheme="minorEastAsia"/>
          <w:bCs/>
          <w:szCs w:val="20"/>
          <w:lang w:eastAsia="pt-BR"/>
        </w:rPr>
        <w:t xml:space="preserve">) </w:t>
      </w:r>
      <w:r w:rsidRPr="00C01954">
        <w:rPr>
          <w:rFonts w:eastAsiaTheme="minorEastAsia"/>
          <w:bCs/>
          <w:szCs w:val="20"/>
          <w:lang w:eastAsia="pt-BR"/>
        </w:rPr>
        <w:t>o 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é baseado </w:t>
      </w:r>
      <w:r w:rsidR="001512B0">
        <w:rPr>
          <w:rFonts w:eastAsiaTheme="minorEastAsia"/>
          <w:bCs/>
          <w:szCs w:val="20"/>
          <w:lang w:eastAsia="pt-BR"/>
        </w:rPr>
        <w:t>n</w:t>
      </w:r>
      <w:r w:rsidRPr="00C01954">
        <w:rPr>
          <w:rFonts w:eastAsiaTheme="minorEastAsia"/>
          <w:bCs/>
          <w:szCs w:val="20"/>
          <w:lang w:eastAsia="pt-BR"/>
        </w:rPr>
        <w:t>um resumo correto das perspectivas futuras, a</w:t>
      </w:r>
      <w:r>
        <w:rPr>
          <w:rFonts w:eastAsiaTheme="minorEastAsia"/>
          <w:bCs/>
          <w:szCs w:val="20"/>
          <w:lang w:eastAsia="pt-BR"/>
        </w:rPr>
        <w:t>o</w:t>
      </w:r>
      <w:r w:rsidRPr="00C01954">
        <w:rPr>
          <w:rFonts w:eastAsiaTheme="minorEastAsia"/>
          <w:bCs/>
          <w:szCs w:val="20"/>
          <w:lang w:eastAsia="pt-BR"/>
        </w:rPr>
        <w:t xml:space="preserve"> menos até</w:t>
      </w:r>
      <w:r>
        <w:rPr>
          <w:rFonts w:eastAsiaTheme="minorEastAsia"/>
          <w:bCs/>
          <w:szCs w:val="20"/>
          <w:lang w:eastAsia="pt-BR"/>
        </w:rPr>
        <w:t xml:space="preserve"> que</w:t>
      </w:r>
      <w:r w:rsidRPr="00C01954">
        <w:rPr>
          <w:rFonts w:eastAsiaTheme="minorEastAsia"/>
          <w:bCs/>
          <w:szCs w:val="20"/>
          <w:lang w:eastAsia="pt-BR"/>
        </w:rPr>
        <w:t xml:space="preserve"> algo</w:t>
      </w:r>
      <w:r>
        <w:rPr>
          <w:rFonts w:eastAsiaTheme="minorEastAsia"/>
          <w:bCs/>
          <w:szCs w:val="20"/>
          <w:lang w:eastAsia="pt-BR"/>
        </w:rPr>
        <w:t xml:space="preserve"> novo e relevante entre em cena; e </w:t>
      </w:r>
      <w:proofErr w:type="spellStart"/>
      <w:r>
        <w:rPr>
          <w:rFonts w:eastAsiaTheme="minorEastAsia"/>
          <w:bCs/>
          <w:szCs w:val="20"/>
          <w:lang w:eastAsia="pt-BR"/>
        </w:rPr>
        <w:t>iii</w:t>
      </w:r>
      <w:proofErr w:type="spellEnd"/>
      <w:r>
        <w:rPr>
          <w:rFonts w:eastAsiaTheme="minorEastAsia"/>
          <w:bCs/>
          <w:szCs w:val="20"/>
          <w:lang w:eastAsia="pt-BR"/>
        </w:rPr>
        <w:t xml:space="preserve">) </w:t>
      </w:r>
      <w:r w:rsidR="001512B0">
        <w:rPr>
          <w:rFonts w:eastAsiaTheme="minorEastAsia"/>
          <w:bCs/>
          <w:szCs w:val="20"/>
          <w:lang w:eastAsia="pt-BR"/>
        </w:rPr>
        <w:t xml:space="preserve">o </w:t>
      </w:r>
      <w:r>
        <w:rPr>
          <w:rFonts w:eastAsiaTheme="minorEastAsia"/>
          <w:bCs/>
          <w:szCs w:val="20"/>
          <w:lang w:eastAsia="pt-BR"/>
        </w:rPr>
        <w:t>julgamento com base nas convenções, isto é, a compreensão de que</w:t>
      </w:r>
      <w:r w:rsidR="002D4633">
        <w:rPr>
          <w:rFonts w:eastAsiaTheme="minorEastAsia"/>
          <w:bCs/>
          <w:szCs w:val="20"/>
          <w:lang w:eastAsia="pt-BR"/>
        </w:rPr>
        <w:t xml:space="preserve"> os demais agentes t</w:t>
      </w:r>
      <w:r>
        <w:rPr>
          <w:rFonts w:eastAsiaTheme="minorEastAsia"/>
          <w:bCs/>
          <w:szCs w:val="20"/>
          <w:lang w:eastAsia="pt-BR"/>
        </w:rPr>
        <w:t xml:space="preserve">em maior conhecimento que o </w:t>
      </w:r>
      <w:r w:rsidR="001512B0">
        <w:rPr>
          <w:rFonts w:eastAsiaTheme="minorEastAsia"/>
          <w:bCs/>
          <w:szCs w:val="20"/>
          <w:lang w:eastAsia="pt-BR"/>
        </w:rPr>
        <w:t>indivíduo, o que implica</w:t>
      </w:r>
      <w:r>
        <w:rPr>
          <w:rFonts w:eastAsiaTheme="minorEastAsia"/>
          <w:bCs/>
          <w:szCs w:val="20"/>
          <w:lang w:eastAsia="pt-BR"/>
        </w:rPr>
        <w:t xml:space="preserve"> uma tendência de mimetismo.</w:t>
      </w:r>
    </w:p>
    <w:p w14:paraId="2F63F948" w14:textId="2EFFC5B2" w:rsidR="00770A3C" w:rsidRDefault="00AF3873" w:rsidP="00827B0C">
      <w:pPr>
        <w:spacing w:line="480" w:lineRule="auto"/>
        <w:ind w:firstLine="851"/>
        <w:rPr>
          <w:rFonts w:eastAsiaTheme="minorEastAsia"/>
          <w:bCs/>
          <w:szCs w:val="20"/>
          <w:lang w:eastAsia="pt-BR"/>
        </w:rPr>
      </w:pPr>
      <w:r>
        <w:rPr>
          <w:rFonts w:eastAsiaTheme="minorEastAsia"/>
          <w:bCs/>
          <w:szCs w:val="20"/>
          <w:lang w:eastAsia="pt-BR"/>
        </w:rPr>
        <w:t>Como bem interpretado por Amado (2003</w:t>
      </w:r>
      <w:r w:rsidR="00B41DD6">
        <w:rPr>
          <w:rFonts w:eastAsiaTheme="minorEastAsia"/>
          <w:bCs/>
          <w:szCs w:val="20"/>
          <w:lang w:eastAsia="pt-BR"/>
        </w:rPr>
        <w:t xml:space="preserve">, </w:t>
      </w:r>
      <w:proofErr w:type="spellStart"/>
      <w:r w:rsidR="00B41DD6">
        <w:rPr>
          <w:rFonts w:eastAsiaTheme="minorEastAsia"/>
          <w:bCs/>
          <w:szCs w:val="20"/>
          <w:lang w:eastAsia="pt-BR"/>
        </w:rPr>
        <w:t>pg</w:t>
      </w:r>
      <w:proofErr w:type="spellEnd"/>
      <w:r w:rsidR="00B41DD6">
        <w:rPr>
          <w:rFonts w:eastAsiaTheme="minorEastAsia"/>
          <w:bCs/>
          <w:szCs w:val="20"/>
          <w:lang w:eastAsia="pt-BR"/>
        </w:rPr>
        <w:t xml:space="preserve"> </w:t>
      </w:r>
      <w:proofErr w:type="gramStart"/>
      <w:r w:rsidR="00B41DD6">
        <w:rPr>
          <w:rFonts w:eastAsiaTheme="minorEastAsia"/>
          <w:bCs/>
          <w:szCs w:val="20"/>
          <w:lang w:eastAsia="pt-BR"/>
        </w:rPr>
        <w:t>6</w:t>
      </w:r>
      <w:proofErr w:type="gramEnd"/>
      <w:r>
        <w:rPr>
          <w:rFonts w:eastAsiaTheme="minorEastAsia"/>
          <w:bCs/>
          <w:szCs w:val="20"/>
          <w:lang w:eastAsia="pt-BR"/>
        </w:rPr>
        <w:t xml:space="preserve">), embora esse comportamento baseado em convenções possa reduzir </w:t>
      </w:r>
      <w:r w:rsidR="00BA6B6A">
        <w:rPr>
          <w:rFonts w:eastAsiaTheme="minorEastAsia"/>
          <w:bCs/>
          <w:szCs w:val="20"/>
          <w:lang w:eastAsia="pt-BR"/>
        </w:rPr>
        <w:t xml:space="preserve">a percepção </w:t>
      </w:r>
      <w:r w:rsidR="00751866">
        <w:rPr>
          <w:rFonts w:eastAsiaTheme="minorEastAsia"/>
          <w:bCs/>
          <w:szCs w:val="20"/>
          <w:lang w:eastAsia="pt-BR"/>
        </w:rPr>
        <w:t xml:space="preserve">de </w:t>
      </w:r>
      <w:r>
        <w:rPr>
          <w:rFonts w:eastAsiaTheme="minorEastAsia"/>
          <w:bCs/>
          <w:szCs w:val="20"/>
          <w:lang w:eastAsia="pt-BR"/>
        </w:rPr>
        <w:t>incerteza para o indivíduo e, em certo aspecto</w:t>
      </w:r>
      <w:r w:rsidR="001512B0">
        <w:rPr>
          <w:rFonts w:eastAsiaTheme="minorEastAsia"/>
          <w:bCs/>
          <w:szCs w:val="20"/>
          <w:lang w:eastAsia="pt-BR"/>
        </w:rPr>
        <w:t>,</w:t>
      </w:r>
      <w:r>
        <w:rPr>
          <w:rFonts w:eastAsiaTheme="minorEastAsia"/>
          <w:bCs/>
          <w:szCs w:val="20"/>
          <w:lang w:eastAsia="pt-BR"/>
        </w:rPr>
        <w:t xml:space="preserve"> também para o coletivo, mudanças nas condições que sustentavam as percepções anteriores</w:t>
      </w:r>
      <w:r w:rsidR="00753E8F">
        <w:rPr>
          <w:rFonts w:eastAsiaTheme="minorEastAsia"/>
          <w:bCs/>
          <w:szCs w:val="20"/>
          <w:lang w:eastAsia="pt-BR"/>
        </w:rPr>
        <w:t xml:space="preserve"> impact</w:t>
      </w:r>
      <w:r w:rsidR="001512B0">
        <w:rPr>
          <w:rFonts w:eastAsiaTheme="minorEastAsia"/>
          <w:bCs/>
          <w:szCs w:val="20"/>
          <w:lang w:eastAsia="pt-BR"/>
        </w:rPr>
        <w:t>am</w:t>
      </w:r>
      <w:r w:rsidR="00753E8F">
        <w:rPr>
          <w:rFonts w:eastAsiaTheme="minorEastAsia"/>
          <w:bCs/>
          <w:szCs w:val="20"/>
          <w:lang w:eastAsia="pt-BR"/>
        </w:rPr>
        <w:t xml:space="preserve"> as expectativas dos agentes, podendo provocar movimentos bruscos em direção à liquidez. Essa volatilidade </w:t>
      </w:r>
      <w:r w:rsidR="001512B0">
        <w:rPr>
          <w:rFonts w:eastAsiaTheme="minorEastAsia"/>
          <w:bCs/>
          <w:szCs w:val="20"/>
          <w:lang w:eastAsia="pt-BR"/>
        </w:rPr>
        <w:t xml:space="preserve">pode </w:t>
      </w:r>
      <w:r w:rsidR="00753E8F">
        <w:rPr>
          <w:rFonts w:eastAsiaTheme="minorEastAsia"/>
          <w:bCs/>
          <w:szCs w:val="20"/>
          <w:lang w:eastAsia="pt-BR"/>
        </w:rPr>
        <w:t>ocorre</w:t>
      </w:r>
      <w:r w:rsidR="001512B0">
        <w:rPr>
          <w:rFonts w:eastAsiaTheme="minorEastAsia"/>
          <w:bCs/>
          <w:szCs w:val="20"/>
          <w:lang w:eastAsia="pt-BR"/>
        </w:rPr>
        <w:t>r</w:t>
      </w:r>
      <w:r w:rsidR="00753E8F">
        <w:rPr>
          <w:rFonts w:eastAsiaTheme="minorEastAsia"/>
          <w:bCs/>
          <w:szCs w:val="20"/>
          <w:lang w:eastAsia="pt-BR"/>
        </w:rPr>
        <w:t xml:space="preserve"> porque</w:t>
      </w:r>
      <w:r w:rsidR="00B41DD6">
        <w:rPr>
          <w:rFonts w:eastAsiaTheme="minorEastAsia"/>
          <w:bCs/>
          <w:szCs w:val="20"/>
          <w:lang w:eastAsia="pt-BR"/>
        </w:rPr>
        <w:t xml:space="preserve"> “</w:t>
      </w:r>
      <w:r w:rsidR="00B41DD6" w:rsidRPr="00B41DD6">
        <w:rPr>
          <w:rFonts w:eastAsiaTheme="minorEastAsia"/>
          <w:bCs/>
          <w:szCs w:val="20"/>
          <w:lang w:eastAsia="pt-BR"/>
        </w:rPr>
        <w:t>o movimento das expectativas</w:t>
      </w:r>
      <w:r w:rsidR="00B41DD6">
        <w:rPr>
          <w:rFonts w:eastAsiaTheme="minorEastAsia"/>
          <w:bCs/>
          <w:szCs w:val="20"/>
          <w:lang w:eastAsia="pt-BR"/>
        </w:rPr>
        <w:t xml:space="preserve"> </w:t>
      </w:r>
      <w:r w:rsidR="00B41DD6" w:rsidRPr="00B41DD6">
        <w:rPr>
          <w:rFonts w:eastAsiaTheme="minorEastAsia"/>
          <w:bCs/>
          <w:szCs w:val="20"/>
          <w:lang w:eastAsia="pt-BR"/>
        </w:rPr>
        <w:t>individuais ocorre no mesmo sentido, dado que a base convencional para a formação</w:t>
      </w:r>
      <w:r w:rsidR="00B41DD6">
        <w:rPr>
          <w:rFonts w:eastAsiaTheme="minorEastAsia"/>
          <w:bCs/>
          <w:szCs w:val="20"/>
          <w:lang w:eastAsia="pt-BR"/>
        </w:rPr>
        <w:t xml:space="preserve"> </w:t>
      </w:r>
      <w:r w:rsidR="00B41DD6" w:rsidRPr="00B41DD6">
        <w:rPr>
          <w:rFonts w:eastAsiaTheme="minorEastAsia"/>
          <w:bCs/>
          <w:szCs w:val="20"/>
          <w:lang w:eastAsia="pt-BR"/>
        </w:rPr>
        <w:t>de expectativas é mantida</w:t>
      </w:r>
      <w:r w:rsidR="00B41DD6">
        <w:rPr>
          <w:rFonts w:eastAsiaTheme="minorEastAsia"/>
          <w:bCs/>
          <w:szCs w:val="20"/>
          <w:lang w:eastAsia="pt-BR"/>
        </w:rPr>
        <w:t>”</w:t>
      </w:r>
      <w:r w:rsidR="00827B0C">
        <w:rPr>
          <w:rFonts w:eastAsiaTheme="minorEastAsia"/>
          <w:bCs/>
          <w:szCs w:val="20"/>
          <w:lang w:eastAsia="pt-BR"/>
        </w:rPr>
        <w:t xml:space="preserve">. </w:t>
      </w:r>
      <w:r w:rsidR="00753E8F">
        <w:rPr>
          <w:rFonts w:eastAsiaTheme="minorEastAsia"/>
          <w:bCs/>
          <w:szCs w:val="20"/>
          <w:lang w:eastAsia="pt-BR"/>
        </w:rPr>
        <w:t xml:space="preserve">Ou seja, a tendência de mimetismo se mantém independentemente do grau de preferência por liquidez. Destarte, </w:t>
      </w:r>
      <w:r w:rsidR="000B7631">
        <w:rPr>
          <w:rFonts w:eastAsiaTheme="minorEastAsia"/>
          <w:bCs/>
          <w:szCs w:val="20"/>
          <w:lang w:eastAsia="pt-BR"/>
        </w:rPr>
        <w:t>fuga para liquidez ou maior alocação em ativos de maior retorno</w:t>
      </w:r>
      <w:r w:rsidR="00827B0C">
        <w:rPr>
          <w:rFonts w:eastAsiaTheme="minorEastAsia"/>
          <w:bCs/>
          <w:szCs w:val="20"/>
          <w:lang w:eastAsia="pt-BR"/>
        </w:rPr>
        <w:t>, mas menos líquidos,</w:t>
      </w:r>
      <w:r w:rsidR="000B7631">
        <w:rPr>
          <w:rFonts w:eastAsiaTheme="minorEastAsia"/>
          <w:bCs/>
          <w:szCs w:val="20"/>
          <w:lang w:eastAsia="pt-BR"/>
        </w:rPr>
        <w:t xml:space="preserve"> são sempre </w:t>
      </w:r>
      <w:r w:rsidR="00221CC5">
        <w:rPr>
          <w:rFonts w:eastAsiaTheme="minorEastAsia"/>
          <w:bCs/>
          <w:szCs w:val="20"/>
          <w:lang w:eastAsia="pt-BR"/>
        </w:rPr>
        <w:t>acompanhados de movimentos bruscos devido ao comportamento baseado nas convenções</w:t>
      </w:r>
      <w:r w:rsidR="002C671B">
        <w:rPr>
          <w:rFonts w:eastAsiaTheme="minorEastAsia"/>
          <w:bCs/>
          <w:szCs w:val="20"/>
          <w:lang w:eastAsia="pt-BR"/>
        </w:rPr>
        <w:t>, o que também pode ser entendido como efeito</w:t>
      </w:r>
      <w:r w:rsidR="001512B0">
        <w:rPr>
          <w:rFonts w:eastAsiaTheme="minorEastAsia"/>
          <w:bCs/>
          <w:szCs w:val="20"/>
          <w:lang w:eastAsia="pt-BR"/>
        </w:rPr>
        <w:t>-</w:t>
      </w:r>
      <w:r w:rsidR="002C671B">
        <w:rPr>
          <w:rFonts w:eastAsiaTheme="minorEastAsia"/>
          <w:bCs/>
          <w:szCs w:val="20"/>
          <w:lang w:eastAsia="pt-BR"/>
        </w:rPr>
        <w:t>manada</w:t>
      </w:r>
      <w:r w:rsidR="00221CC5">
        <w:rPr>
          <w:rFonts w:eastAsiaTheme="minorEastAsia"/>
          <w:bCs/>
          <w:szCs w:val="20"/>
          <w:lang w:eastAsia="pt-BR"/>
        </w:rPr>
        <w:t>.</w:t>
      </w:r>
    </w:p>
    <w:p w14:paraId="295F000C" w14:textId="59C26D7F" w:rsidR="00476BF8" w:rsidRPr="000A0093" w:rsidRDefault="00692ED8" w:rsidP="00FC2664">
      <w:pPr>
        <w:spacing w:line="480" w:lineRule="auto"/>
        <w:ind w:firstLine="851"/>
        <w:rPr>
          <w:bCs/>
        </w:rPr>
      </w:pPr>
      <w:r>
        <w:rPr>
          <w:rFonts w:eastAsiaTheme="minorEastAsia"/>
          <w:bCs/>
          <w:lang w:eastAsia="pt-BR"/>
        </w:rPr>
        <w:t xml:space="preserve">A abordagem de </w:t>
      </w:r>
      <w:r w:rsidR="00A5270A">
        <w:rPr>
          <w:rFonts w:eastAsiaTheme="minorEastAsia"/>
          <w:bCs/>
          <w:lang w:eastAsia="pt-BR"/>
        </w:rPr>
        <w:t>Keynes</w:t>
      </w:r>
      <w:r>
        <w:rPr>
          <w:rFonts w:eastAsiaTheme="minorEastAsia"/>
          <w:bCs/>
          <w:lang w:eastAsia="pt-BR"/>
        </w:rPr>
        <w:t xml:space="preserve"> sobre o </w:t>
      </w:r>
      <w:r w:rsidR="00B22EF2">
        <w:rPr>
          <w:rFonts w:eastAsiaTheme="minorEastAsia"/>
          <w:bCs/>
          <w:lang w:eastAsia="pt-BR"/>
        </w:rPr>
        <w:t xml:space="preserve">comportamento </w:t>
      </w:r>
      <w:r>
        <w:rPr>
          <w:rFonts w:eastAsiaTheme="minorEastAsia"/>
          <w:bCs/>
          <w:lang w:eastAsia="pt-BR"/>
        </w:rPr>
        <w:t xml:space="preserve">convencional </w:t>
      </w:r>
      <w:r w:rsidR="00B22EF2">
        <w:rPr>
          <w:rFonts w:eastAsiaTheme="minorEastAsia"/>
          <w:bCs/>
          <w:lang w:eastAsia="pt-BR"/>
        </w:rPr>
        <w:t xml:space="preserve">dos agentes privados </w:t>
      </w:r>
      <w:r w:rsidR="00A5270A">
        <w:rPr>
          <w:rFonts w:eastAsiaTheme="minorEastAsia"/>
          <w:bCs/>
          <w:lang w:eastAsia="pt-BR"/>
        </w:rPr>
        <w:t>num contexto de</w:t>
      </w:r>
      <w:r w:rsidR="00B22EF2" w:rsidRPr="00A5270A">
        <w:rPr>
          <w:rFonts w:eastAsiaTheme="minorEastAsia"/>
          <w:bCs/>
          <w:lang w:eastAsia="pt-BR"/>
        </w:rPr>
        <w:t xml:space="preserve"> incerteza</w:t>
      </w:r>
      <w:r>
        <w:rPr>
          <w:rFonts w:eastAsiaTheme="minorEastAsia"/>
          <w:bCs/>
          <w:lang w:eastAsia="pt-BR"/>
        </w:rPr>
        <w:t>, sintetizada acima, circunscreveu-se a uma economia fechada</w:t>
      </w:r>
      <w:r w:rsidR="007F5D34">
        <w:rPr>
          <w:rFonts w:eastAsiaTheme="minorEastAsia"/>
          <w:bCs/>
          <w:lang w:eastAsia="pt-BR"/>
        </w:rPr>
        <w:t xml:space="preserve">. </w:t>
      </w:r>
      <w:r>
        <w:rPr>
          <w:rFonts w:eastAsiaTheme="minorEastAsia"/>
          <w:bCs/>
        </w:rPr>
        <w:t>Quando se considera uma economia aberta, o perfil</w:t>
      </w:r>
      <w:r w:rsidR="0017035D" w:rsidRPr="000A0093">
        <w:rPr>
          <w:bCs/>
        </w:rPr>
        <w:t xml:space="preserve"> do sistema monetário internacional (SMI) </w:t>
      </w:r>
      <w:r>
        <w:rPr>
          <w:bCs/>
        </w:rPr>
        <w:t xml:space="preserve">deve ser introduzido na análise, </w:t>
      </w:r>
      <w:proofErr w:type="gramStart"/>
      <w:r>
        <w:rPr>
          <w:bCs/>
        </w:rPr>
        <w:t>As</w:t>
      </w:r>
      <w:proofErr w:type="gramEnd"/>
      <w:r>
        <w:rPr>
          <w:bCs/>
        </w:rPr>
        <w:t xml:space="preserve"> características do SMI </w:t>
      </w:r>
      <w:r w:rsidR="0017035D" w:rsidRPr="000A0093">
        <w:rPr>
          <w:bCs/>
        </w:rPr>
        <w:t>contemporâneo</w:t>
      </w:r>
      <w:r>
        <w:rPr>
          <w:bCs/>
        </w:rPr>
        <w:t xml:space="preserve">, que emergiu após o colapso do </w:t>
      </w:r>
      <w:r w:rsidR="00827B0C">
        <w:rPr>
          <w:bCs/>
        </w:rPr>
        <w:t xml:space="preserve">sistema </w:t>
      </w:r>
      <w:r>
        <w:rPr>
          <w:bCs/>
        </w:rPr>
        <w:t>de Bretton Woods</w:t>
      </w:r>
      <w:r w:rsidR="00827B0C">
        <w:rPr>
          <w:bCs/>
        </w:rPr>
        <w:t xml:space="preserve"> </w:t>
      </w:r>
      <w:r w:rsidR="00BB71FA">
        <w:rPr>
          <w:bCs/>
        </w:rPr>
        <w:t xml:space="preserve">- </w:t>
      </w:r>
      <w:r w:rsidR="00BB71FA" w:rsidRPr="000A0093">
        <w:t>dólar fiduciário como divisa-chave</w:t>
      </w:r>
      <w:r w:rsidR="0093543C">
        <w:t xml:space="preserve"> no topo da hierarquia de moedas</w:t>
      </w:r>
      <w:r w:rsidR="00BB71FA">
        <w:t xml:space="preserve">, </w:t>
      </w:r>
      <w:r w:rsidR="00BB71FA" w:rsidRPr="000A0093">
        <w:t>regime de câmbio flutuante e livre mobilidade de capitais (Prates, 2005)</w:t>
      </w:r>
      <w:r w:rsidR="00BB71FA">
        <w:t xml:space="preserve"> –</w:t>
      </w:r>
      <w:r>
        <w:rPr>
          <w:bCs/>
        </w:rPr>
        <w:t xml:space="preserve"> </w:t>
      </w:r>
      <w:r w:rsidR="00BB71FA">
        <w:rPr>
          <w:bCs/>
        </w:rPr>
        <w:t xml:space="preserve">imprimiram uma alta volatilidade dos fluxos de capitais, tornando </w:t>
      </w:r>
      <w:r>
        <w:rPr>
          <w:bCs/>
        </w:rPr>
        <w:t>ainda mais frágil o estado de convenções subjacente à tomada de decisão dos agentes</w:t>
      </w:r>
      <w:r w:rsidR="007F5D34">
        <w:rPr>
          <w:bCs/>
        </w:rPr>
        <w:t xml:space="preserve"> privados globais</w:t>
      </w:r>
      <w:r w:rsidR="00751866">
        <w:rPr>
          <w:bCs/>
        </w:rPr>
        <w:t>.</w:t>
      </w:r>
    </w:p>
    <w:p w14:paraId="3C918B60" w14:textId="53823667" w:rsidR="004B5664" w:rsidRDefault="004B5664" w:rsidP="00FC2664">
      <w:pPr>
        <w:spacing w:line="480" w:lineRule="auto"/>
        <w:ind w:firstLine="851"/>
        <w:rPr>
          <w:rFonts w:eastAsiaTheme="minorEastAsia"/>
          <w:bCs/>
          <w:lang w:eastAsia="pt-BR"/>
        </w:rPr>
      </w:pPr>
      <w:r w:rsidRPr="007A7B3F">
        <w:rPr>
          <w:rFonts w:eastAsiaTheme="minorEastAsia"/>
          <w:bCs/>
          <w:lang w:eastAsia="pt-BR"/>
        </w:rPr>
        <w:t xml:space="preserve">A mudança da natureza da </w:t>
      </w:r>
      <w:r w:rsidR="00BB71FA">
        <w:rPr>
          <w:rFonts w:eastAsiaTheme="minorEastAsia"/>
          <w:bCs/>
          <w:lang w:eastAsia="pt-BR"/>
        </w:rPr>
        <w:t>divisa</w:t>
      </w:r>
      <w:r w:rsidRPr="007A7B3F">
        <w:rPr>
          <w:rFonts w:eastAsiaTheme="minorEastAsia"/>
          <w:bCs/>
          <w:lang w:eastAsia="pt-BR"/>
        </w:rPr>
        <w:t xml:space="preserve">-chave, que deixou de ser vinculada ao </w:t>
      </w:r>
      <w:r w:rsidR="00BB71FA">
        <w:rPr>
          <w:rFonts w:eastAsiaTheme="minorEastAsia"/>
          <w:bCs/>
          <w:lang w:eastAsia="pt-BR"/>
        </w:rPr>
        <w:t>ouro</w:t>
      </w:r>
      <w:r w:rsidRPr="007A7B3F">
        <w:rPr>
          <w:rFonts w:eastAsiaTheme="minorEastAsia"/>
          <w:bCs/>
          <w:lang w:eastAsia="pt-BR"/>
        </w:rPr>
        <w:t xml:space="preserve"> e passou a ser exclusivamente fiduciária, concede</w:t>
      </w:r>
      <w:r w:rsidR="00BB71FA">
        <w:rPr>
          <w:rFonts w:eastAsiaTheme="minorEastAsia"/>
          <w:bCs/>
          <w:lang w:eastAsia="pt-BR"/>
        </w:rPr>
        <w:t>u</w:t>
      </w:r>
      <w:r w:rsidRPr="007A7B3F">
        <w:rPr>
          <w:rFonts w:eastAsiaTheme="minorEastAsia"/>
          <w:bCs/>
          <w:lang w:eastAsia="pt-BR"/>
        </w:rPr>
        <w:t xml:space="preserve"> um grau de </w:t>
      </w:r>
      <w:r w:rsidR="00BB71FA">
        <w:rPr>
          <w:rFonts w:eastAsiaTheme="minorEastAsia"/>
          <w:bCs/>
          <w:lang w:eastAsia="pt-BR"/>
        </w:rPr>
        <w:t xml:space="preserve">autonomia de política econômica </w:t>
      </w:r>
      <w:r w:rsidRPr="007A7B3F">
        <w:rPr>
          <w:rFonts w:eastAsiaTheme="minorEastAsia"/>
          <w:bCs/>
          <w:lang w:eastAsia="pt-BR"/>
        </w:rPr>
        <w:t xml:space="preserve">ainda maior </w:t>
      </w:r>
      <w:r w:rsidRPr="007A7B3F">
        <w:rPr>
          <w:rFonts w:eastAsiaTheme="minorEastAsia"/>
          <w:bCs/>
          <w:lang w:eastAsia="pt-BR"/>
        </w:rPr>
        <w:lastRenderedPageBreak/>
        <w:t xml:space="preserve">ao país </w:t>
      </w:r>
      <w:proofErr w:type="gramStart"/>
      <w:r w:rsidRPr="007A7B3F">
        <w:rPr>
          <w:rFonts w:eastAsiaTheme="minorEastAsia"/>
          <w:bCs/>
          <w:lang w:eastAsia="pt-BR"/>
        </w:rPr>
        <w:t xml:space="preserve">emissor </w:t>
      </w:r>
      <w:r w:rsidR="00BB71FA">
        <w:rPr>
          <w:rFonts w:eastAsiaTheme="minorEastAsia"/>
          <w:bCs/>
          <w:lang w:eastAsia="pt-BR"/>
        </w:rPr>
        <w:t>,</w:t>
      </w:r>
      <w:proofErr w:type="gramEnd"/>
      <w:r w:rsidR="00BB71FA">
        <w:rPr>
          <w:rFonts w:eastAsiaTheme="minorEastAsia"/>
          <w:bCs/>
          <w:lang w:eastAsia="pt-BR"/>
        </w:rPr>
        <w:t xml:space="preserve"> </w:t>
      </w:r>
      <w:r w:rsidRPr="007A7B3F">
        <w:rPr>
          <w:rFonts w:eastAsiaTheme="minorEastAsia"/>
          <w:bCs/>
          <w:lang w:eastAsia="pt-BR"/>
        </w:rPr>
        <w:t>os Estados Unidos</w:t>
      </w:r>
      <w:r w:rsidR="00BB71FA">
        <w:rPr>
          <w:rFonts w:eastAsiaTheme="minorEastAsia"/>
          <w:bCs/>
          <w:lang w:eastAsia="pt-BR"/>
        </w:rPr>
        <w:t>, já que seu passivo externo não é mais conversível na relíquia bárbara</w:t>
      </w:r>
      <w:r w:rsidR="00B41DD6">
        <w:rPr>
          <w:rFonts w:eastAsiaTheme="minorEastAsia"/>
          <w:bCs/>
          <w:lang w:eastAsia="pt-BR"/>
        </w:rPr>
        <w:t xml:space="preserve"> </w:t>
      </w:r>
      <w:r w:rsidR="00B41DD6" w:rsidRPr="00B41DD6">
        <w:rPr>
          <w:rFonts w:eastAsiaTheme="minorEastAsia"/>
          <w:bCs/>
          <w:lang w:eastAsia="pt-BR"/>
        </w:rPr>
        <w:t>(Serrano, 2002)</w:t>
      </w:r>
      <w:r w:rsidR="00B41DD6">
        <w:rPr>
          <w:rFonts w:eastAsiaTheme="minorEastAsia"/>
          <w:bCs/>
          <w:lang w:eastAsia="pt-BR"/>
        </w:rPr>
        <w:t xml:space="preserve"> </w:t>
      </w:r>
      <w:r w:rsidR="00BB42EE">
        <w:rPr>
          <w:rFonts w:eastAsiaTheme="minorEastAsia"/>
          <w:bCs/>
          <w:lang w:eastAsia="pt-BR"/>
        </w:rPr>
        <w:t xml:space="preserve"> </w:t>
      </w:r>
      <w:r w:rsidR="003361BB" w:rsidRPr="007A7B3F">
        <w:rPr>
          <w:rFonts w:eastAsiaTheme="minorEastAsia"/>
          <w:bCs/>
          <w:lang w:eastAsia="pt-BR"/>
        </w:rPr>
        <w:t>No entanto</w:t>
      </w:r>
      <w:r w:rsidRPr="007A7B3F">
        <w:rPr>
          <w:rFonts w:eastAsiaTheme="minorEastAsia"/>
          <w:bCs/>
          <w:lang w:eastAsia="pt-BR"/>
        </w:rPr>
        <w:t xml:space="preserve">, como alerta Belluzzo (1997), a política monetária dos Estados Unidos não </w:t>
      </w:r>
      <w:r w:rsidR="00BB71FA">
        <w:rPr>
          <w:rFonts w:eastAsiaTheme="minorEastAsia"/>
          <w:bCs/>
          <w:lang w:eastAsia="pt-BR"/>
        </w:rPr>
        <w:t>é</w:t>
      </w:r>
      <w:r w:rsidRPr="007A7B3F">
        <w:rPr>
          <w:rFonts w:eastAsiaTheme="minorEastAsia"/>
          <w:bCs/>
          <w:lang w:eastAsia="pt-BR"/>
        </w:rPr>
        <w:t xml:space="preserve"> completamente independente</w:t>
      </w:r>
      <w:r w:rsidR="00343B66">
        <w:rPr>
          <w:rFonts w:eastAsiaTheme="minorEastAsia"/>
          <w:bCs/>
          <w:lang w:eastAsia="pt-BR"/>
        </w:rPr>
        <w:t xml:space="preserve"> da decisões de alocação de portfólio dos </w:t>
      </w:r>
      <w:r w:rsidR="00F37B24">
        <w:rPr>
          <w:rFonts w:eastAsiaTheme="minorEastAsia"/>
          <w:bCs/>
          <w:lang w:eastAsia="pt-BR"/>
        </w:rPr>
        <w:t xml:space="preserve">agentes privados </w:t>
      </w:r>
      <w:r w:rsidR="00343B66">
        <w:rPr>
          <w:rFonts w:eastAsiaTheme="minorEastAsia"/>
          <w:bCs/>
          <w:lang w:eastAsia="pt-BR"/>
        </w:rPr>
        <w:t xml:space="preserve">globais uma vez que a situação </w:t>
      </w:r>
      <w:r w:rsidRPr="007A7B3F">
        <w:rPr>
          <w:rFonts w:eastAsiaTheme="minorEastAsia"/>
          <w:bCs/>
          <w:lang w:eastAsia="pt-BR"/>
        </w:rPr>
        <w:t xml:space="preserve">de devedor líquido </w:t>
      </w:r>
      <w:r w:rsidR="00751866">
        <w:rPr>
          <w:rFonts w:eastAsiaTheme="minorEastAsia"/>
          <w:bCs/>
          <w:lang w:eastAsia="pt-BR"/>
        </w:rPr>
        <w:t xml:space="preserve">e </w:t>
      </w:r>
      <w:r w:rsidRPr="007A7B3F">
        <w:rPr>
          <w:rFonts w:eastAsiaTheme="minorEastAsia"/>
          <w:bCs/>
          <w:lang w:eastAsia="pt-BR"/>
        </w:rPr>
        <w:t>deficitário na conta corrente do balanço de pagamentos</w:t>
      </w:r>
      <w:r w:rsidR="00BB42EE">
        <w:rPr>
          <w:rFonts w:eastAsiaTheme="minorEastAsia"/>
          <w:bCs/>
          <w:lang w:eastAsia="pt-BR"/>
        </w:rPr>
        <w:t xml:space="preserve"> o país emissor da divisa-chave</w:t>
      </w:r>
      <w:r w:rsidR="00343B66">
        <w:rPr>
          <w:rFonts w:eastAsiaTheme="minorEastAsia"/>
          <w:bCs/>
          <w:lang w:eastAsia="pt-BR"/>
        </w:rPr>
        <w:t xml:space="preserve"> pode</w:t>
      </w:r>
      <w:r w:rsidR="00BB42EE">
        <w:rPr>
          <w:rFonts w:eastAsiaTheme="minorEastAsia"/>
          <w:bCs/>
          <w:lang w:eastAsia="pt-BR"/>
        </w:rPr>
        <w:t>, eventualmente, exigir elevações da sua taxa de juros básica</w:t>
      </w:r>
      <w:r>
        <w:rPr>
          <w:rFonts w:eastAsiaTheme="minorEastAsia"/>
          <w:bCs/>
          <w:lang w:eastAsia="pt-BR"/>
        </w:rPr>
        <w:t xml:space="preserve"> para atração do capital externo necessário. </w:t>
      </w:r>
      <w:r w:rsidR="00BB42EE">
        <w:rPr>
          <w:rFonts w:eastAsiaTheme="minorEastAsia"/>
          <w:bCs/>
          <w:lang w:eastAsia="pt-BR"/>
        </w:rPr>
        <w:t xml:space="preserve">Mesmo que essa situação limite não se verifique, mudanças na taxa de juros da divisa-chave, associadas a objetivos internos (controle da inflação ou crescimento), afetam decisivamente a direção dos fluxos de capitais internacionais. </w:t>
      </w:r>
      <w:r>
        <w:rPr>
          <w:rFonts w:eastAsiaTheme="minorEastAsia"/>
          <w:bCs/>
          <w:lang w:eastAsia="pt-BR"/>
        </w:rPr>
        <w:t>Deste modo,</w:t>
      </w:r>
      <w:r w:rsidR="00BB42EE">
        <w:rPr>
          <w:rFonts w:eastAsiaTheme="minorEastAsia"/>
          <w:bCs/>
          <w:lang w:eastAsia="pt-BR"/>
        </w:rPr>
        <w:t xml:space="preserve"> a natureza fiduciária do dólar tornou </w:t>
      </w:r>
      <w:r>
        <w:rPr>
          <w:rFonts w:eastAsiaTheme="minorEastAsia"/>
          <w:bCs/>
          <w:lang w:eastAsia="pt-BR"/>
        </w:rPr>
        <w:t>a dinâmica d</w:t>
      </w:r>
      <w:r w:rsidR="00BB42EE">
        <w:rPr>
          <w:rFonts w:eastAsiaTheme="minorEastAsia"/>
          <w:bCs/>
          <w:lang w:eastAsia="pt-BR"/>
        </w:rPr>
        <w:t>esses</w:t>
      </w:r>
      <w:r>
        <w:rPr>
          <w:rFonts w:eastAsiaTheme="minorEastAsia"/>
          <w:bCs/>
          <w:lang w:eastAsia="pt-BR"/>
        </w:rPr>
        <w:t xml:space="preserve"> fluxos e a política monetária do país emissor da </w:t>
      </w:r>
      <w:r w:rsidR="00BB42EE">
        <w:rPr>
          <w:rFonts w:eastAsiaTheme="minorEastAsia"/>
          <w:bCs/>
          <w:lang w:eastAsia="pt-BR"/>
        </w:rPr>
        <w:t>divisa</w:t>
      </w:r>
      <w:r>
        <w:rPr>
          <w:rFonts w:eastAsiaTheme="minorEastAsia"/>
          <w:bCs/>
          <w:lang w:eastAsia="pt-BR"/>
        </w:rPr>
        <w:t xml:space="preserve">-chave ainda mais </w:t>
      </w:r>
      <w:r w:rsidR="00751866">
        <w:rPr>
          <w:rFonts w:eastAsiaTheme="minorEastAsia"/>
          <w:bCs/>
          <w:lang w:eastAsia="pt-BR"/>
        </w:rPr>
        <w:t>interligadas</w:t>
      </w:r>
      <w:r w:rsidR="00BC5EE6">
        <w:rPr>
          <w:rFonts w:eastAsiaTheme="minorEastAsia"/>
          <w:bCs/>
          <w:lang w:eastAsia="pt-BR"/>
        </w:rPr>
        <w:t xml:space="preserve"> (Prates, 2005)</w:t>
      </w:r>
      <w:r>
        <w:rPr>
          <w:rFonts w:eastAsiaTheme="minorEastAsia"/>
          <w:bCs/>
          <w:lang w:eastAsia="pt-BR"/>
        </w:rPr>
        <w:t>.</w:t>
      </w:r>
    </w:p>
    <w:p w14:paraId="369CB280" w14:textId="78980840" w:rsidR="004B5664" w:rsidRDefault="004B5664" w:rsidP="00FC2664">
      <w:pPr>
        <w:spacing w:line="480" w:lineRule="auto"/>
        <w:ind w:firstLine="851"/>
        <w:rPr>
          <w:rFonts w:eastAsiaTheme="minorEastAsia"/>
          <w:bCs/>
          <w:lang w:eastAsia="pt-BR"/>
        </w:rPr>
      </w:pPr>
      <w:r w:rsidRPr="007A7B3F">
        <w:rPr>
          <w:rFonts w:eastAsiaTheme="minorEastAsia"/>
          <w:bCs/>
          <w:lang w:eastAsia="pt-BR"/>
        </w:rPr>
        <w:t>A</w:t>
      </w:r>
      <w:r w:rsidR="005A4EA5">
        <w:rPr>
          <w:rFonts w:eastAsiaTheme="minorEastAsia"/>
          <w:bCs/>
          <w:lang w:eastAsia="pt-BR"/>
        </w:rPr>
        <w:t>s duas demais características do SMI contemporâneo -</w:t>
      </w:r>
      <w:r w:rsidRPr="007A7B3F">
        <w:rPr>
          <w:rFonts w:eastAsiaTheme="minorEastAsia"/>
          <w:bCs/>
          <w:lang w:eastAsia="pt-BR"/>
        </w:rPr>
        <w:t xml:space="preserve"> livre mobilidade de capitais e regime de câmbio flutuante</w:t>
      </w:r>
      <w:r w:rsidR="005A4EA5">
        <w:rPr>
          <w:rFonts w:eastAsiaTheme="minorEastAsia"/>
          <w:bCs/>
          <w:lang w:eastAsia="pt-BR"/>
        </w:rPr>
        <w:t xml:space="preserve"> – também contribuíram para acentuar a vola</w:t>
      </w:r>
      <w:r w:rsidR="005A4EA5" w:rsidRPr="007A7B3F">
        <w:rPr>
          <w:rFonts w:eastAsiaTheme="minorEastAsia"/>
          <w:bCs/>
          <w:lang w:eastAsia="pt-BR"/>
        </w:rPr>
        <w:t>til</w:t>
      </w:r>
      <w:r w:rsidR="005A4EA5">
        <w:rPr>
          <w:rFonts w:eastAsiaTheme="minorEastAsia"/>
          <w:bCs/>
          <w:lang w:eastAsia="pt-BR"/>
        </w:rPr>
        <w:t>idade dos fluxos de capitais</w:t>
      </w:r>
      <w:r w:rsidRPr="007A7B3F">
        <w:rPr>
          <w:rFonts w:eastAsiaTheme="minorEastAsia"/>
          <w:bCs/>
          <w:lang w:eastAsia="pt-BR"/>
        </w:rPr>
        <w:t>. O fim do</w:t>
      </w:r>
      <w:r w:rsidR="005A4EA5">
        <w:rPr>
          <w:rFonts w:eastAsiaTheme="minorEastAsia"/>
          <w:bCs/>
          <w:lang w:eastAsia="pt-BR"/>
        </w:rPr>
        <w:t>s</w:t>
      </w:r>
      <w:r w:rsidRPr="007A7B3F">
        <w:rPr>
          <w:rFonts w:eastAsiaTheme="minorEastAsia"/>
          <w:bCs/>
          <w:lang w:eastAsia="pt-BR"/>
        </w:rPr>
        <w:t xml:space="preserve"> controle</w:t>
      </w:r>
      <w:r w:rsidR="005A4EA5">
        <w:rPr>
          <w:rFonts w:eastAsiaTheme="minorEastAsia"/>
          <w:bCs/>
          <w:lang w:eastAsia="pt-BR"/>
        </w:rPr>
        <w:t>s</w:t>
      </w:r>
      <w:r w:rsidRPr="007A7B3F">
        <w:rPr>
          <w:rFonts w:eastAsiaTheme="minorEastAsia"/>
          <w:bCs/>
          <w:lang w:eastAsia="pt-BR"/>
        </w:rPr>
        <w:t xml:space="preserve"> sobre </w:t>
      </w:r>
      <w:r w:rsidR="005A4EA5">
        <w:rPr>
          <w:rFonts w:eastAsiaTheme="minorEastAsia"/>
          <w:bCs/>
          <w:lang w:eastAsia="pt-BR"/>
        </w:rPr>
        <w:t>esse</w:t>
      </w:r>
      <w:r w:rsidRPr="007A7B3F">
        <w:rPr>
          <w:rFonts w:eastAsiaTheme="minorEastAsia"/>
          <w:bCs/>
          <w:lang w:eastAsia="pt-BR"/>
        </w:rPr>
        <w:t xml:space="preserve">s fluxos permitiu </w:t>
      </w:r>
      <w:r w:rsidR="005A4EA5">
        <w:rPr>
          <w:rFonts w:eastAsiaTheme="minorEastAsia"/>
          <w:bCs/>
          <w:lang w:eastAsia="pt-BR"/>
        </w:rPr>
        <w:t xml:space="preserve">sua </w:t>
      </w:r>
      <w:r w:rsidR="004150EA">
        <w:rPr>
          <w:rFonts w:eastAsiaTheme="minorEastAsia"/>
          <w:bCs/>
          <w:lang w:eastAsia="pt-BR"/>
        </w:rPr>
        <w:t>ampla mobilidade, acirrando a</w:t>
      </w:r>
      <w:r w:rsidRPr="007A7B3F">
        <w:rPr>
          <w:rFonts w:eastAsiaTheme="minorEastAsia"/>
          <w:bCs/>
          <w:lang w:eastAsia="pt-BR"/>
        </w:rPr>
        <w:t xml:space="preserve"> concorrência para atração dos capitais internacionais, </w:t>
      </w:r>
      <w:r w:rsidR="004150EA">
        <w:rPr>
          <w:rFonts w:eastAsiaTheme="minorEastAsia"/>
          <w:bCs/>
          <w:lang w:eastAsia="pt-BR"/>
        </w:rPr>
        <w:t>que</w:t>
      </w:r>
      <w:r w:rsidRPr="007A7B3F">
        <w:rPr>
          <w:rFonts w:eastAsiaTheme="minorEastAsia"/>
          <w:bCs/>
          <w:lang w:eastAsia="pt-BR"/>
        </w:rPr>
        <w:t xml:space="preserve"> passaram a arbitrar em diferentes mercados em busca de maiores retornos.</w:t>
      </w:r>
      <w:r>
        <w:rPr>
          <w:rFonts w:eastAsiaTheme="minorEastAsia"/>
          <w:bCs/>
          <w:lang w:eastAsia="pt-BR"/>
        </w:rPr>
        <w:t xml:space="preserve"> </w:t>
      </w:r>
      <w:r w:rsidR="004150EA">
        <w:rPr>
          <w:rFonts w:eastAsiaTheme="minorEastAsia"/>
          <w:bCs/>
          <w:lang w:eastAsia="pt-BR"/>
        </w:rPr>
        <w:t>Enquanto em momentos de otimismo, os investidores busquem a</w:t>
      </w:r>
      <w:r w:rsidR="00D35A3B">
        <w:rPr>
          <w:rFonts w:eastAsiaTheme="minorEastAsia"/>
          <w:bCs/>
          <w:lang w:eastAsia="pt-BR"/>
        </w:rPr>
        <w:t xml:space="preserve"> </w:t>
      </w:r>
      <w:r w:rsidRPr="007A7B3F">
        <w:rPr>
          <w:rFonts w:eastAsiaTheme="minorEastAsia"/>
          <w:bCs/>
          <w:lang w:eastAsia="pt-BR"/>
        </w:rPr>
        <w:t>valorização</w:t>
      </w:r>
      <w:r w:rsidR="004150EA">
        <w:rPr>
          <w:rFonts w:eastAsiaTheme="minorEastAsia"/>
          <w:bCs/>
          <w:lang w:eastAsia="pt-BR"/>
        </w:rPr>
        <w:t xml:space="preserve"> do seu capital</w:t>
      </w:r>
      <w:r w:rsidRPr="007A7B3F">
        <w:rPr>
          <w:rFonts w:eastAsiaTheme="minorEastAsia"/>
          <w:bCs/>
          <w:lang w:eastAsia="pt-BR"/>
        </w:rPr>
        <w:t xml:space="preserve">, </w:t>
      </w:r>
      <w:r w:rsidR="004150EA">
        <w:rPr>
          <w:rFonts w:eastAsiaTheme="minorEastAsia"/>
          <w:bCs/>
          <w:lang w:eastAsia="pt-BR"/>
        </w:rPr>
        <w:t xml:space="preserve">em momentos de pessimismo e maior preferência pela liquidez em </w:t>
      </w:r>
      <w:r w:rsidRPr="007A7B3F">
        <w:rPr>
          <w:rFonts w:eastAsiaTheme="minorEastAsia"/>
          <w:bCs/>
          <w:lang w:eastAsia="pt-BR"/>
        </w:rPr>
        <w:t xml:space="preserve">âmbito internacional, </w:t>
      </w:r>
      <w:r w:rsidR="004150EA">
        <w:rPr>
          <w:rFonts w:eastAsiaTheme="minorEastAsia"/>
          <w:bCs/>
          <w:lang w:eastAsia="pt-BR"/>
        </w:rPr>
        <w:t xml:space="preserve">eles demandam o </w:t>
      </w:r>
      <w:r w:rsidRPr="007A7B3F">
        <w:rPr>
          <w:rFonts w:eastAsiaTheme="minorEastAsia"/>
          <w:bCs/>
          <w:lang w:eastAsia="pt-BR"/>
        </w:rPr>
        <w:t xml:space="preserve">ativo </w:t>
      </w:r>
      <w:r w:rsidR="004150EA">
        <w:rPr>
          <w:rFonts w:eastAsiaTheme="minorEastAsia"/>
          <w:bCs/>
          <w:lang w:eastAsia="pt-BR"/>
        </w:rPr>
        <w:t xml:space="preserve">mais líquido, qual seja, </w:t>
      </w:r>
      <w:r w:rsidRPr="007A7B3F">
        <w:rPr>
          <w:rFonts w:eastAsiaTheme="minorEastAsia"/>
          <w:bCs/>
          <w:lang w:eastAsia="pt-BR"/>
        </w:rPr>
        <w:t>os títulos públicos dos Estados Unidos. Como o regime cambial é flutuante, as taxas de câmbio passam a ter movimentos bruscos</w:t>
      </w:r>
      <w:r w:rsidR="004150EA">
        <w:rPr>
          <w:rFonts w:eastAsiaTheme="minorEastAsia"/>
          <w:bCs/>
          <w:lang w:eastAsia="pt-BR"/>
        </w:rPr>
        <w:t xml:space="preserve">, o que também abre </w:t>
      </w:r>
      <w:r w:rsidRPr="007A7B3F">
        <w:rPr>
          <w:rFonts w:eastAsiaTheme="minorEastAsia"/>
          <w:bCs/>
          <w:lang w:eastAsia="pt-BR"/>
        </w:rPr>
        <w:t>oportunidades de ganhos especulativos nos mercados de câmbio</w:t>
      </w:r>
      <w:r w:rsidR="004150EA">
        <w:rPr>
          <w:rFonts w:eastAsiaTheme="minorEastAsia"/>
          <w:bCs/>
          <w:lang w:eastAsia="pt-BR"/>
        </w:rPr>
        <w:t>, que reforçam ainda mais sua volatilidade</w:t>
      </w:r>
      <w:r w:rsidR="00BC5EE6">
        <w:rPr>
          <w:rFonts w:eastAsiaTheme="minorEastAsia"/>
          <w:bCs/>
          <w:lang w:eastAsia="pt-BR"/>
        </w:rPr>
        <w:t xml:space="preserve"> (idem)</w:t>
      </w:r>
      <w:r>
        <w:rPr>
          <w:rFonts w:eastAsiaTheme="minorEastAsia"/>
          <w:bCs/>
          <w:lang w:eastAsia="pt-BR"/>
        </w:rPr>
        <w:t>.</w:t>
      </w:r>
    </w:p>
    <w:p w14:paraId="34789D0F" w14:textId="703D75B1" w:rsidR="00345B26" w:rsidRDefault="004150EA" w:rsidP="00FC2664">
      <w:pPr>
        <w:spacing w:line="480" w:lineRule="auto"/>
        <w:ind w:firstLine="851"/>
        <w:rPr>
          <w:rFonts w:eastAsiaTheme="minorEastAsia"/>
          <w:bCs/>
          <w:lang w:eastAsia="pt-BR"/>
        </w:rPr>
      </w:pPr>
      <w:r>
        <w:rPr>
          <w:rFonts w:eastAsiaTheme="minorEastAsia"/>
          <w:bCs/>
          <w:lang w:eastAsia="pt-BR"/>
        </w:rPr>
        <w:t>T</w:t>
      </w:r>
      <w:r w:rsidR="00345B26" w:rsidRPr="007A7B3F">
        <w:rPr>
          <w:rFonts w:eastAsiaTheme="minorEastAsia"/>
          <w:bCs/>
          <w:lang w:eastAsia="pt-BR"/>
        </w:rPr>
        <w:t xml:space="preserve">ambém </w:t>
      </w:r>
      <w:r>
        <w:rPr>
          <w:rFonts w:eastAsiaTheme="minorEastAsia"/>
          <w:bCs/>
          <w:lang w:eastAsia="pt-BR"/>
        </w:rPr>
        <w:t>é importante</w:t>
      </w:r>
      <w:r w:rsidR="00345B26" w:rsidRPr="007A7B3F">
        <w:rPr>
          <w:rFonts w:eastAsiaTheme="minorEastAsia"/>
          <w:bCs/>
          <w:lang w:eastAsia="pt-BR"/>
        </w:rPr>
        <w:t xml:space="preserve"> ressaltar que não há uma relação simétrica entre a elevação e a redução na taxa de juros do país emissor da </w:t>
      </w:r>
      <w:r>
        <w:rPr>
          <w:rFonts w:eastAsiaTheme="minorEastAsia"/>
          <w:bCs/>
          <w:lang w:eastAsia="pt-BR"/>
        </w:rPr>
        <w:t>divisa</w:t>
      </w:r>
      <w:r w:rsidR="00345B26" w:rsidRPr="007A7B3F">
        <w:rPr>
          <w:rFonts w:eastAsiaTheme="minorEastAsia"/>
          <w:bCs/>
          <w:lang w:eastAsia="pt-BR"/>
        </w:rPr>
        <w:t>-chave do SMI</w:t>
      </w:r>
      <w:r w:rsidR="00BC5EE6">
        <w:rPr>
          <w:rFonts w:eastAsiaTheme="minorEastAsia"/>
          <w:bCs/>
          <w:lang w:eastAsia="pt-BR"/>
        </w:rPr>
        <w:t xml:space="preserve"> e a direção dos fluxos de capitais</w:t>
      </w:r>
      <w:r w:rsidR="00345B26" w:rsidRPr="007A7B3F">
        <w:rPr>
          <w:rFonts w:eastAsiaTheme="minorEastAsia"/>
          <w:bCs/>
          <w:lang w:eastAsia="pt-BR"/>
        </w:rPr>
        <w:t>. Um aumento significativo n</w:t>
      </w:r>
      <w:r w:rsidR="005D61BE">
        <w:rPr>
          <w:rFonts w:eastAsiaTheme="minorEastAsia"/>
          <w:bCs/>
          <w:lang w:eastAsia="pt-BR"/>
        </w:rPr>
        <w:t>essa</w:t>
      </w:r>
      <w:r w:rsidR="00345B26" w:rsidRPr="007A7B3F">
        <w:rPr>
          <w:rFonts w:eastAsiaTheme="minorEastAsia"/>
          <w:bCs/>
          <w:lang w:eastAsia="pt-BR"/>
        </w:rPr>
        <w:t xml:space="preserve"> taxa de juros</w:t>
      </w:r>
      <w:r w:rsidR="005D61BE">
        <w:rPr>
          <w:rFonts w:eastAsiaTheme="minorEastAsia"/>
          <w:bCs/>
          <w:lang w:eastAsia="pt-BR"/>
        </w:rPr>
        <w:t>, supondo constantes as taxas de juros nos demais países,</w:t>
      </w:r>
      <w:r w:rsidR="00345B26" w:rsidRPr="007A7B3F">
        <w:rPr>
          <w:rFonts w:eastAsiaTheme="minorEastAsia"/>
          <w:bCs/>
          <w:lang w:eastAsia="pt-BR"/>
        </w:rPr>
        <w:t xml:space="preserve"> </w:t>
      </w:r>
      <w:r w:rsidR="005D61BE">
        <w:rPr>
          <w:rFonts w:eastAsiaTheme="minorEastAsia"/>
          <w:bCs/>
          <w:lang w:eastAsia="pt-BR"/>
        </w:rPr>
        <w:t>atrairá</w:t>
      </w:r>
      <w:r w:rsidR="00345B26" w:rsidRPr="007A7B3F">
        <w:rPr>
          <w:rFonts w:eastAsiaTheme="minorEastAsia"/>
          <w:bCs/>
          <w:lang w:eastAsia="pt-BR"/>
        </w:rPr>
        <w:t xml:space="preserve"> capitais </w:t>
      </w:r>
      <w:r w:rsidR="005D61BE">
        <w:rPr>
          <w:rFonts w:eastAsiaTheme="minorEastAsia"/>
          <w:bCs/>
          <w:lang w:eastAsia="pt-BR"/>
        </w:rPr>
        <w:t xml:space="preserve">para </w:t>
      </w:r>
      <w:r w:rsidR="00345B26" w:rsidRPr="007A7B3F">
        <w:rPr>
          <w:rFonts w:eastAsiaTheme="minorEastAsia"/>
          <w:bCs/>
          <w:lang w:eastAsia="pt-BR"/>
        </w:rPr>
        <w:t xml:space="preserve">esse país. Porém, uma redução não </w:t>
      </w:r>
      <w:proofErr w:type="gramStart"/>
      <w:r w:rsidR="00345B26" w:rsidRPr="007A7B3F">
        <w:rPr>
          <w:rFonts w:eastAsiaTheme="minorEastAsia"/>
          <w:bCs/>
          <w:lang w:eastAsia="pt-BR"/>
        </w:rPr>
        <w:t>significa</w:t>
      </w:r>
      <w:r w:rsidR="005D61BE">
        <w:rPr>
          <w:rFonts w:eastAsiaTheme="minorEastAsia"/>
          <w:bCs/>
          <w:lang w:eastAsia="pt-BR"/>
        </w:rPr>
        <w:t>rá,</w:t>
      </w:r>
      <w:proofErr w:type="gramEnd"/>
      <w:r w:rsidR="00345B26" w:rsidRPr="007A7B3F">
        <w:rPr>
          <w:rFonts w:eastAsiaTheme="minorEastAsia"/>
          <w:bCs/>
          <w:lang w:eastAsia="pt-BR"/>
        </w:rPr>
        <w:t xml:space="preserve"> necessariamente</w:t>
      </w:r>
      <w:r w:rsidR="005D61BE">
        <w:rPr>
          <w:rFonts w:eastAsiaTheme="minorEastAsia"/>
          <w:bCs/>
          <w:lang w:eastAsia="pt-BR"/>
        </w:rPr>
        <w:t>, saída</w:t>
      </w:r>
      <w:r w:rsidR="004228F1">
        <w:rPr>
          <w:rFonts w:eastAsiaTheme="minorEastAsia"/>
          <w:bCs/>
          <w:lang w:eastAsia="pt-BR"/>
        </w:rPr>
        <w:t xml:space="preserve"> </w:t>
      </w:r>
      <w:r w:rsidR="009305A6">
        <w:rPr>
          <w:rFonts w:eastAsiaTheme="minorEastAsia"/>
          <w:bCs/>
          <w:lang w:eastAsia="pt-BR"/>
        </w:rPr>
        <w:t>d</w:t>
      </w:r>
      <w:r w:rsidR="005D61BE">
        <w:rPr>
          <w:rFonts w:eastAsiaTheme="minorEastAsia"/>
          <w:bCs/>
          <w:lang w:eastAsia="pt-BR"/>
        </w:rPr>
        <w:t xml:space="preserve">e capitais uma vez que </w:t>
      </w:r>
      <w:r w:rsidR="00BC5EE6">
        <w:rPr>
          <w:rFonts w:eastAsiaTheme="minorEastAsia"/>
          <w:bCs/>
          <w:lang w:eastAsia="pt-BR"/>
        </w:rPr>
        <w:t>os títulos de dívida pública desse país</w:t>
      </w:r>
      <w:r w:rsidR="00345B26" w:rsidRPr="007A7B3F">
        <w:rPr>
          <w:rFonts w:eastAsiaTheme="minorEastAsia"/>
          <w:bCs/>
          <w:lang w:eastAsia="pt-BR"/>
        </w:rPr>
        <w:t xml:space="preserve"> é o receptáculo da </w:t>
      </w:r>
      <w:r w:rsidR="00BC5EE6">
        <w:rPr>
          <w:rFonts w:eastAsiaTheme="minorEastAsia"/>
          <w:bCs/>
          <w:lang w:eastAsia="pt-BR"/>
        </w:rPr>
        <w:t xml:space="preserve">incerteza em </w:t>
      </w:r>
      <w:r w:rsidR="00BC5EE6">
        <w:rPr>
          <w:rFonts w:eastAsiaTheme="minorEastAsia"/>
          <w:bCs/>
          <w:lang w:eastAsia="pt-BR"/>
        </w:rPr>
        <w:lastRenderedPageBreak/>
        <w:t>âmbito i</w:t>
      </w:r>
      <w:r w:rsidR="00345B26" w:rsidRPr="007A7B3F">
        <w:rPr>
          <w:rFonts w:eastAsiaTheme="minorEastAsia"/>
          <w:bCs/>
          <w:lang w:eastAsia="pt-BR"/>
        </w:rPr>
        <w:t>nternacional</w:t>
      </w:r>
      <w:r w:rsidR="005D61BE">
        <w:rPr>
          <w:rFonts w:eastAsiaTheme="minorEastAsia"/>
          <w:bCs/>
          <w:lang w:eastAsia="pt-BR"/>
        </w:rPr>
        <w:t xml:space="preserve"> (Prates, 2005)</w:t>
      </w:r>
      <w:r w:rsidR="00345B26" w:rsidRPr="007A7B3F">
        <w:rPr>
          <w:rFonts w:eastAsiaTheme="minorEastAsia"/>
          <w:bCs/>
          <w:lang w:eastAsia="pt-BR"/>
        </w:rPr>
        <w:t xml:space="preserve">. </w:t>
      </w:r>
      <w:r w:rsidR="005D61BE">
        <w:rPr>
          <w:rFonts w:eastAsiaTheme="minorEastAsia"/>
          <w:bCs/>
          <w:lang w:eastAsia="pt-BR"/>
        </w:rPr>
        <w:t xml:space="preserve">Nesse caso, a direção dos fluxos de capitais dependerá do grau de </w:t>
      </w:r>
      <w:r w:rsidR="002B5AE3">
        <w:rPr>
          <w:rFonts w:eastAsiaTheme="minorEastAsia"/>
          <w:bCs/>
          <w:lang w:eastAsia="pt-BR"/>
        </w:rPr>
        <w:t xml:space="preserve">aversão ao </w:t>
      </w:r>
      <w:r w:rsidR="005D61BE">
        <w:rPr>
          <w:rFonts w:eastAsiaTheme="minorEastAsia"/>
          <w:bCs/>
          <w:lang w:eastAsia="pt-BR"/>
        </w:rPr>
        <w:t xml:space="preserve">risco e de preferência de liquidez dos </w:t>
      </w:r>
      <w:r w:rsidR="00F37B24">
        <w:rPr>
          <w:rFonts w:eastAsiaTheme="minorEastAsia"/>
          <w:bCs/>
          <w:lang w:eastAsia="pt-BR"/>
        </w:rPr>
        <w:t>agentes privados</w:t>
      </w:r>
      <w:r w:rsidR="005D61BE">
        <w:rPr>
          <w:rFonts w:eastAsiaTheme="minorEastAsia"/>
          <w:bCs/>
          <w:lang w:eastAsia="pt-BR"/>
        </w:rPr>
        <w:t xml:space="preserve"> globais.</w:t>
      </w:r>
    </w:p>
    <w:p w14:paraId="122E2A02" w14:textId="44159F22" w:rsidR="00345B26" w:rsidRDefault="00FC142F" w:rsidP="00FC2664">
      <w:pPr>
        <w:pStyle w:val="Adriano-padro"/>
        <w:spacing w:line="480" w:lineRule="auto"/>
        <w:ind w:firstLine="851"/>
        <w:rPr>
          <w:rFonts w:eastAsiaTheme="minorEastAsia"/>
          <w:bCs/>
        </w:rPr>
      </w:pPr>
      <w:r w:rsidRPr="00FC142F">
        <w:rPr>
          <w:bCs/>
        </w:rPr>
        <w:t>Se</w:t>
      </w:r>
      <w:r w:rsidR="005D61BE">
        <w:rPr>
          <w:bCs/>
        </w:rPr>
        <w:t>, por</w:t>
      </w:r>
      <w:r w:rsidRPr="00FC142F">
        <w:rPr>
          <w:bCs/>
        </w:rPr>
        <w:t xml:space="preserve"> um lado</w:t>
      </w:r>
      <w:r w:rsidR="005D61BE">
        <w:rPr>
          <w:bCs/>
        </w:rPr>
        <w:t>,</w:t>
      </w:r>
      <w:r w:rsidRPr="00FC142F">
        <w:rPr>
          <w:bCs/>
        </w:rPr>
        <w:t xml:space="preserve"> o país emissor da </w:t>
      </w:r>
      <w:r w:rsidR="005D61BE">
        <w:rPr>
          <w:bCs/>
        </w:rPr>
        <w:t>divisa</w:t>
      </w:r>
      <w:r w:rsidRPr="00FC142F">
        <w:rPr>
          <w:bCs/>
        </w:rPr>
        <w:t>-chave é o maior receptor dos capitais nos momentos de incerteza, de outro</w:t>
      </w:r>
      <w:r w:rsidR="005D61BE">
        <w:rPr>
          <w:bCs/>
        </w:rPr>
        <w:t xml:space="preserve"> lado</w:t>
      </w:r>
      <w:r w:rsidRPr="00FC142F">
        <w:rPr>
          <w:bCs/>
        </w:rPr>
        <w:t xml:space="preserve">, os </w:t>
      </w:r>
      <w:r w:rsidRPr="00BC5EE6">
        <w:rPr>
          <w:rFonts w:eastAsiaTheme="minorHAnsi"/>
          <w:bCs/>
          <w:color w:val="auto"/>
          <w:lang w:eastAsia="en-US"/>
        </w:rPr>
        <w:t>países em desenvolvimento</w:t>
      </w:r>
      <w:r w:rsidRPr="00FC142F">
        <w:rPr>
          <w:bCs/>
        </w:rPr>
        <w:t>, emissores de moedas periféricas</w:t>
      </w:r>
      <w:r w:rsidR="00BC5EE6">
        <w:rPr>
          <w:bCs/>
        </w:rPr>
        <w:t xml:space="preserve"> – que não desempenham nenhuma função da moeda em âmbito internacional e, assim, se situam no piso da hierarquia de moedas - </w:t>
      </w:r>
      <w:r w:rsidRPr="00FC142F">
        <w:rPr>
          <w:bCs/>
        </w:rPr>
        <w:t>são os mais sensíveis às mudanças nas expectativas dos agentes</w:t>
      </w:r>
      <w:r w:rsidR="00FE7E7F">
        <w:rPr>
          <w:bCs/>
        </w:rPr>
        <w:t xml:space="preserve"> privados</w:t>
      </w:r>
      <w:r w:rsidR="00BC5EE6">
        <w:rPr>
          <w:bCs/>
        </w:rPr>
        <w:t xml:space="preserve"> </w:t>
      </w:r>
      <w:r w:rsidR="007F5D34">
        <w:rPr>
          <w:bCs/>
        </w:rPr>
        <w:t>globais</w:t>
      </w:r>
      <w:r w:rsidR="00345B26">
        <w:rPr>
          <w:bCs/>
        </w:rPr>
        <w:t xml:space="preserve">. Conforme argumenta Dow (2001), elevações </w:t>
      </w:r>
      <w:r w:rsidR="00FE7E7F">
        <w:rPr>
          <w:bCs/>
        </w:rPr>
        <w:t xml:space="preserve">na preferência por liquidez desses agentes </w:t>
      </w:r>
      <w:r w:rsidR="0093543C">
        <w:rPr>
          <w:bCs/>
        </w:rPr>
        <w:t>provocarão</w:t>
      </w:r>
      <w:r w:rsidR="00FE7E7F">
        <w:rPr>
          <w:bCs/>
        </w:rPr>
        <w:t xml:space="preserve"> uma fuga de capitais dos países em desenvolvimento em direção à </w:t>
      </w:r>
      <w:r w:rsidR="0093543C">
        <w:rPr>
          <w:bCs/>
        </w:rPr>
        <w:t>divisa</w:t>
      </w:r>
      <w:r w:rsidR="00FE7E7F">
        <w:rPr>
          <w:bCs/>
        </w:rPr>
        <w:t>-chave ou ativos</w:t>
      </w:r>
      <w:r w:rsidR="0093543C">
        <w:rPr>
          <w:bCs/>
        </w:rPr>
        <w:t xml:space="preserve"> nela</w:t>
      </w:r>
      <w:r w:rsidR="00FE7E7F">
        <w:rPr>
          <w:bCs/>
        </w:rPr>
        <w:t xml:space="preserve"> denominados.</w:t>
      </w:r>
      <w:r w:rsidR="00345B26" w:rsidRPr="00345B26">
        <w:rPr>
          <w:rFonts w:eastAsiaTheme="minorEastAsia"/>
          <w:bCs/>
        </w:rPr>
        <w:t xml:space="preserve"> </w:t>
      </w:r>
      <w:r w:rsidR="00FE7E7F">
        <w:rPr>
          <w:rFonts w:eastAsiaTheme="minorEastAsia"/>
          <w:bCs/>
        </w:rPr>
        <w:t xml:space="preserve">Como as mudanças de expectativas dos agentes tendem a ocorrer de forma mimética, </w:t>
      </w:r>
      <w:r w:rsidR="00345B26">
        <w:rPr>
          <w:rFonts w:eastAsiaTheme="minorEastAsia"/>
          <w:bCs/>
        </w:rPr>
        <w:t xml:space="preserve">os países emissores </w:t>
      </w:r>
      <w:r w:rsidR="00FE7E7F">
        <w:rPr>
          <w:rFonts w:eastAsiaTheme="minorEastAsia"/>
          <w:bCs/>
        </w:rPr>
        <w:t>de</w:t>
      </w:r>
      <w:r w:rsidR="00345B26">
        <w:rPr>
          <w:rFonts w:eastAsiaTheme="minorEastAsia"/>
          <w:bCs/>
        </w:rPr>
        <w:t xml:space="preserve"> moedas</w:t>
      </w:r>
      <w:r w:rsidR="00345B26" w:rsidRPr="007A7B3F">
        <w:rPr>
          <w:rFonts w:eastAsiaTheme="minorEastAsia"/>
          <w:bCs/>
        </w:rPr>
        <w:t xml:space="preserve"> </w:t>
      </w:r>
      <w:r w:rsidR="00FE7E7F">
        <w:rPr>
          <w:rFonts w:eastAsiaTheme="minorEastAsia"/>
          <w:bCs/>
        </w:rPr>
        <w:t xml:space="preserve">periféricas </w:t>
      </w:r>
      <w:r w:rsidR="00345B26" w:rsidRPr="007A7B3F">
        <w:rPr>
          <w:rFonts w:eastAsiaTheme="minorEastAsia"/>
          <w:bCs/>
        </w:rPr>
        <w:t xml:space="preserve">são os mais suscetíveis aos efeitos </w:t>
      </w:r>
      <w:r w:rsidR="0093543C">
        <w:rPr>
          <w:rFonts w:eastAsiaTheme="minorEastAsia"/>
          <w:bCs/>
        </w:rPr>
        <w:t>adversos</w:t>
      </w:r>
      <w:r w:rsidR="00345B26" w:rsidRPr="007A7B3F">
        <w:rPr>
          <w:rFonts w:eastAsiaTheme="minorEastAsia"/>
          <w:bCs/>
        </w:rPr>
        <w:t xml:space="preserve"> dos movimentos de manada.</w:t>
      </w:r>
    </w:p>
    <w:p w14:paraId="10C0BA1F" w14:textId="7CE0B3CE" w:rsidR="003D5D9F" w:rsidRDefault="003B7FB8" w:rsidP="00FC2664">
      <w:pPr>
        <w:spacing w:line="480" w:lineRule="auto"/>
        <w:ind w:firstLine="851"/>
        <w:rPr>
          <w:rFonts w:eastAsiaTheme="minorEastAsia"/>
          <w:bCs/>
          <w:lang w:eastAsia="pt-BR"/>
        </w:rPr>
      </w:pPr>
      <w:r>
        <w:rPr>
          <w:rFonts w:eastAsiaTheme="minorEastAsia"/>
          <w:bCs/>
          <w:lang w:eastAsia="pt-BR"/>
        </w:rPr>
        <w:t xml:space="preserve">Assim, a dinâmica dos </w:t>
      </w:r>
      <w:r w:rsidR="007737D3" w:rsidRPr="007737D3">
        <w:rPr>
          <w:rFonts w:eastAsiaTheme="minorEastAsia"/>
          <w:bCs/>
          <w:lang w:eastAsia="pt-BR"/>
        </w:rPr>
        <w:t xml:space="preserve">fluxos de capitais </w:t>
      </w:r>
      <w:r w:rsidR="006177DA">
        <w:rPr>
          <w:rFonts w:eastAsiaTheme="minorEastAsia"/>
          <w:bCs/>
          <w:lang w:eastAsia="pt-BR"/>
        </w:rPr>
        <w:t xml:space="preserve">direcionados </w:t>
      </w:r>
      <w:r w:rsidR="007737D3" w:rsidRPr="007737D3">
        <w:rPr>
          <w:rFonts w:eastAsiaTheme="minorEastAsia"/>
          <w:bCs/>
          <w:lang w:eastAsia="pt-BR"/>
        </w:rPr>
        <w:t xml:space="preserve">aos países </w:t>
      </w:r>
      <w:r>
        <w:rPr>
          <w:rFonts w:eastAsiaTheme="minorEastAsia"/>
          <w:bCs/>
          <w:lang w:eastAsia="pt-BR"/>
        </w:rPr>
        <w:t xml:space="preserve">emissores de moedas periféricas </w:t>
      </w:r>
      <w:r w:rsidR="007737D3" w:rsidRPr="007737D3">
        <w:rPr>
          <w:rFonts w:eastAsiaTheme="minorEastAsia"/>
          <w:bCs/>
          <w:lang w:eastAsia="pt-BR"/>
        </w:rPr>
        <w:t>reflete um</w:t>
      </w:r>
      <w:r>
        <w:rPr>
          <w:rFonts w:eastAsiaTheme="minorEastAsia"/>
          <w:bCs/>
          <w:lang w:eastAsia="pt-BR"/>
        </w:rPr>
        <w:t>a</w:t>
      </w:r>
      <w:r w:rsidR="007737D3" w:rsidRPr="007737D3">
        <w:rPr>
          <w:rFonts w:eastAsiaTheme="minorEastAsia"/>
          <w:bCs/>
          <w:lang w:eastAsia="pt-BR"/>
        </w:rPr>
        <w:t xml:space="preserve"> das assimetrias do sistema financeiro internacional</w:t>
      </w:r>
      <w:r>
        <w:rPr>
          <w:rFonts w:eastAsiaTheme="minorEastAsia"/>
          <w:bCs/>
          <w:lang w:eastAsia="pt-BR"/>
        </w:rPr>
        <w:t xml:space="preserve"> contemporâneo</w:t>
      </w:r>
      <w:r w:rsidR="007737D3" w:rsidRPr="007737D3">
        <w:rPr>
          <w:rFonts w:eastAsiaTheme="minorEastAsia"/>
          <w:bCs/>
          <w:lang w:eastAsia="pt-BR"/>
        </w:rPr>
        <w:t xml:space="preserve">, </w:t>
      </w:r>
      <w:r>
        <w:rPr>
          <w:rFonts w:eastAsiaTheme="minorEastAsia"/>
          <w:bCs/>
          <w:lang w:eastAsia="pt-BR"/>
        </w:rPr>
        <w:t xml:space="preserve">que </w:t>
      </w:r>
      <w:r w:rsidR="007737D3" w:rsidRPr="007737D3">
        <w:rPr>
          <w:rFonts w:eastAsiaTheme="minorEastAsia"/>
          <w:bCs/>
          <w:lang w:eastAsia="pt-BR"/>
        </w:rPr>
        <w:t xml:space="preserve">refere ao caráter exógeno dos fluxos de capitais aos países em desenvolvimento. </w:t>
      </w:r>
      <w:r w:rsidR="003D5D9F">
        <w:rPr>
          <w:rFonts w:eastAsiaTheme="minorEastAsia"/>
          <w:bCs/>
          <w:lang w:eastAsia="pt-BR"/>
        </w:rPr>
        <w:t xml:space="preserve">Em outros termos, isso significa que há predominância dos </w:t>
      </w:r>
      <w:proofErr w:type="spellStart"/>
      <w:r w:rsidR="003D5D9F" w:rsidRPr="003D5D9F">
        <w:rPr>
          <w:rFonts w:eastAsiaTheme="minorEastAsia"/>
          <w:bCs/>
          <w:i/>
          <w:lang w:eastAsia="pt-BR"/>
        </w:rPr>
        <w:t>push-factors</w:t>
      </w:r>
      <w:proofErr w:type="spellEnd"/>
      <w:r w:rsidR="003D5D9F">
        <w:rPr>
          <w:rFonts w:eastAsiaTheme="minorEastAsia"/>
          <w:bCs/>
          <w:lang w:eastAsia="pt-BR"/>
        </w:rPr>
        <w:t xml:space="preserve"> sobre os </w:t>
      </w:r>
      <w:proofErr w:type="spellStart"/>
      <w:r w:rsidR="003D5D9F" w:rsidRPr="003D5D9F">
        <w:rPr>
          <w:rFonts w:eastAsiaTheme="minorEastAsia"/>
          <w:bCs/>
          <w:i/>
          <w:lang w:eastAsia="pt-BR"/>
        </w:rPr>
        <w:t>pull-factors</w:t>
      </w:r>
      <w:proofErr w:type="spellEnd"/>
      <w:r w:rsidR="003D5D9F">
        <w:rPr>
          <w:rFonts w:eastAsiaTheme="minorEastAsia"/>
          <w:bCs/>
          <w:lang w:eastAsia="pt-BR"/>
        </w:rPr>
        <w:t xml:space="preserve">. </w:t>
      </w:r>
    </w:p>
    <w:p w14:paraId="4CB0F6E0" w14:textId="188D174D" w:rsidR="000B7631" w:rsidRDefault="007737D3" w:rsidP="00F37B24">
      <w:pPr>
        <w:spacing w:line="480" w:lineRule="auto"/>
        <w:ind w:firstLine="851"/>
        <w:rPr>
          <w:rFonts w:eastAsiaTheme="minorEastAsia"/>
          <w:bCs/>
          <w:lang w:eastAsia="pt-BR"/>
        </w:rPr>
      </w:pPr>
      <w:r w:rsidRPr="007737D3">
        <w:rPr>
          <w:rFonts w:eastAsiaTheme="minorEastAsia"/>
          <w:bCs/>
          <w:lang w:eastAsia="pt-BR"/>
        </w:rPr>
        <w:t xml:space="preserve">Países </w:t>
      </w:r>
      <w:r w:rsidR="00E1579C">
        <w:rPr>
          <w:rFonts w:eastAsiaTheme="minorEastAsia"/>
          <w:bCs/>
          <w:lang w:eastAsia="pt-BR"/>
        </w:rPr>
        <w:t>em desenvolvimento</w:t>
      </w:r>
      <w:r w:rsidRPr="007737D3">
        <w:rPr>
          <w:rFonts w:eastAsiaTheme="minorEastAsia"/>
          <w:bCs/>
          <w:lang w:eastAsia="pt-BR"/>
        </w:rPr>
        <w:t xml:space="preserve"> com mercados financeiramente abertos se tornam muito suscetíveis às mudanças de humor dos agentes </w:t>
      </w:r>
      <w:r w:rsidR="007F5D34">
        <w:rPr>
          <w:rFonts w:eastAsiaTheme="minorEastAsia"/>
          <w:bCs/>
          <w:lang w:eastAsia="pt-BR"/>
        </w:rPr>
        <w:t>privados globais</w:t>
      </w:r>
      <w:r w:rsidRPr="007737D3">
        <w:rPr>
          <w:rFonts w:eastAsiaTheme="minorEastAsia"/>
          <w:bCs/>
          <w:lang w:eastAsia="pt-BR"/>
        </w:rPr>
        <w:t xml:space="preserve">. Sendo assim, as entradas de capitais nesses países podem cessar mesmo que não haja uma piora nas condições internas, sendo suficiente, como comentado acima, a alteração nas expectativas dos agentes </w:t>
      </w:r>
      <w:r w:rsidR="00176DCE">
        <w:rPr>
          <w:rFonts w:eastAsiaTheme="minorEastAsia"/>
          <w:bCs/>
          <w:lang w:eastAsia="pt-BR"/>
        </w:rPr>
        <w:t>privados globais</w:t>
      </w:r>
      <w:r w:rsidRPr="007737D3">
        <w:rPr>
          <w:rFonts w:eastAsiaTheme="minorEastAsia"/>
          <w:bCs/>
          <w:lang w:eastAsia="pt-BR"/>
        </w:rPr>
        <w:t xml:space="preserve">. </w:t>
      </w:r>
      <w:r w:rsidR="006E7B50">
        <w:rPr>
          <w:rFonts w:eastAsiaTheme="minorEastAsia"/>
          <w:bCs/>
          <w:lang w:eastAsia="pt-BR"/>
        </w:rPr>
        <w:t>Contudo</w:t>
      </w:r>
      <w:r w:rsidR="00EA6DB7" w:rsidRPr="00EA6DB7">
        <w:rPr>
          <w:rFonts w:eastAsiaTheme="minorEastAsia"/>
          <w:bCs/>
          <w:lang w:eastAsia="pt-BR"/>
        </w:rPr>
        <w:t>, indicadores macroeconômicos negativos poderiam elevar ainda mais</w:t>
      </w:r>
      <w:r w:rsidR="00176DCE">
        <w:rPr>
          <w:rFonts w:eastAsiaTheme="minorEastAsia"/>
          <w:bCs/>
          <w:lang w:eastAsia="pt-BR"/>
        </w:rPr>
        <w:t xml:space="preserve"> a suscetibilidade</w:t>
      </w:r>
      <w:r w:rsidR="00EA6DB7" w:rsidRPr="00EA6DB7">
        <w:rPr>
          <w:rFonts w:eastAsiaTheme="minorEastAsia"/>
          <w:bCs/>
          <w:lang w:eastAsia="pt-BR"/>
        </w:rPr>
        <w:t xml:space="preserve"> dos países </w:t>
      </w:r>
      <w:r w:rsidR="00E1579C">
        <w:rPr>
          <w:rFonts w:eastAsiaTheme="minorEastAsia"/>
          <w:bCs/>
          <w:lang w:eastAsia="pt-BR"/>
        </w:rPr>
        <w:t>em desenvolvimento</w:t>
      </w:r>
      <w:r w:rsidR="00176DCE">
        <w:rPr>
          <w:rFonts w:eastAsiaTheme="minorEastAsia"/>
          <w:bCs/>
          <w:lang w:eastAsia="pt-BR"/>
        </w:rPr>
        <w:t xml:space="preserve"> frente às alterações nos estados de confiança desses agentes</w:t>
      </w:r>
      <w:r w:rsidR="00EA6DB7" w:rsidRPr="00EA6DB7">
        <w:rPr>
          <w:rFonts w:eastAsiaTheme="minorEastAsia"/>
          <w:bCs/>
          <w:lang w:eastAsia="pt-BR"/>
        </w:rPr>
        <w:t xml:space="preserve">. Deste modo, entende-se que os países </w:t>
      </w:r>
      <w:r w:rsidR="00E1579C">
        <w:rPr>
          <w:rFonts w:eastAsiaTheme="minorEastAsia"/>
          <w:bCs/>
          <w:lang w:eastAsia="pt-BR"/>
        </w:rPr>
        <w:t>em desenvolvimento</w:t>
      </w:r>
      <w:r w:rsidR="00D00D51">
        <w:rPr>
          <w:rFonts w:eastAsiaTheme="minorEastAsia"/>
          <w:bCs/>
          <w:lang w:eastAsia="pt-BR"/>
        </w:rPr>
        <w:t xml:space="preserve"> </w:t>
      </w:r>
      <w:r w:rsidR="00E1579C">
        <w:rPr>
          <w:rFonts w:eastAsiaTheme="minorEastAsia"/>
          <w:bCs/>
          <w:lang w:eastAsia="pt-BR"/>
        </w:rPr>
        <w:t>em</w:t>
      </w:r>
      <w:r w:rsidR="00D00D51">
        <w:rPr>
          <w:rFonts w:eastAsiaTheme="minorEastAsia"/>
          <w:bCs/>
          <w:lang w:eastAsia="pt-BR"/>
        </w:rPr>
        <w:t xml:space="preserve"> </w:t>
      </w:r>
      <w:r w:rsidR="00E1579C">
        <w:rPr>
          <w:rFonts w:eastAsiaTheme="minorEastAsia"/>
          <w:bCs/>
          <w:lang w:eastAsia="pt-BR"/>
        </w:rPr>
        <w:t>desenvolvimento</w:t>
      </w:r>
      <w:r w:rsidR="00EA6DB7" w:rsidRPr="00EA6DB7">
        <w:rPr>
          <w:rFonts w:eastAsiaTheme="minorEastAsia"/>
          <w:bCs/>
          <w:lang w:eastAsia="pt-BR"/>
        </w:rPr>
        <w:t xml:space="preserve"> necessitem apresentar bons “fundamentos macroeconômicos”, porém, eles </w:t>
      </w:r>
      <w:r w:rsidR="00F37B24">
        <w:rPr>
          <w:rFonts w:eastAsiaTheme="minorEastAsia"/>
          <w:bCs/>
          <w:lang w:eastAsia="pt-BR"/>
        </w:rPr>
        <w:t xml:space="preserve">não </w:t>
      </w:r>
      <w:r w:rsidR="00EA6DB7" w:rsidRPr="00EA6DB7">
        <w:rPr>
          <w:rFonts w:eastAsiaTheme="minorEastAsia"/>
          <w:bCs/>
          <w:lang w:eastAsia="pt-BR"/>
        </w:rPr>
        <w:t xml:space="preserve">são </w:t>
      </w:r>
      <w:r w:rsidR="00F37B24">
        <w:rPr>
          <w:rFonts w:eastAsiaTheme="minorEastAsia"/>
          <w:bCs/>
          <w:lang w:eastAsia="pt-BR"/>
        </w:rPr>
        <w:t xml:space="preserve">suficientes para evitar saídas repentinas dos fluxos de capitais nos momentos de reversão das expectativas. </w:t>
      </w:r>
      <w:r w:rsidRPr="007737D3">
        <w:rPr>
          <w:rFonts w:eastAsiaTheme="minorEastAsia"/>
          <w:bCs/>
          <w:lang w:eastAsia="pt-BR"/>
        </w:rPr>
        <w:t xml:space="preserve">Em contrapartida, </w:t>
      </w:r>
      <w:r w:rsidR="003B7FB8">
        <w:rPr>
          <w:rFonts w:eastAsiaTheme="minorEastAsia"/>
          <w:bCs/>
          <w:lang w:eastAsia="pt-BR"/>
        </w:rPr>
        <w:t xml:space="preserve">em </w:t>
      </w:r>
      <w:r w:rsidRPr="007737D3">
        <w:rPr>
          <w:rFonts w:eastAsiaTheme="minorEastAsia"/>
          <w:bCs/>
          <w:lang w:eastAsia="pt-BR"/>
        </w:rPr>
        <w:t>momento</w:t>
      </w:r>
      <w:r w:rsidR="003B7FB8">
        <w:rPr>
          <w:rFonts w:eastAsiaTheme="minorEastAsia"/>
          <w:bCs/>
          <w:lang w:eastAsia="pt-BR"/>
        </w:rPr>
        <w:t>s de menor preferencia pela liquidez dos</w:t>
      </w:r>
      <w:r w:rsidRPr="007737D3">
        <w:rPr>
          <w:rFonts w:eastAsiaTheme="minorEastAsia"/>
          <w:bCs/>
          <w:lang w:eastAsia="pt-BR"/>
        </w:rPr>
        <w:t xml:space="preserve"> </w:t>
      </w:r>
      <w:r w:rsidR="003B7FB8">
        <w:rPr>
          <w:rFonts w:eastAsiaTheme="minorEastAsia"/>
          <w:bCs/>
          <w:lang w:eastAsia="pt-BR"/>
        </w:rPr>
        <w:t>agentes privados globais</w:t>
      </w:r>
      <w:r w:rsidRPr="007737D3">
        <w:rPr>
          <w:rFonts w:eastAsiaTheme="minorEastAsia"/>
          <w:bCs/>
          <w:lang w:eastAsia="pt-BR"/>
        </w:rPr>
        <w:t xml:space="preserve">, há uma elevação na parcela de ativos de menor qualidade </w:t>
      </w:r>
      <w:r w:rsidR="003B7FB8">
        <w:rPr>
          <w:rFonts w:eastAsiaTheme="minorEastAsia"/>
          <w:bCs/>
          <w:lang w:eastAsia="pt-BR"/>
        </w:rPr>
        <w:t xml:space="preserve">e maiores rendimentos </w:t>
      </w:r>
      <w:r w:rsidRPr="007737D3">
        <w:rPr>
          <w:rFonts w:eastAsiaTheme="minorEastAsia"/>
          <w:bCs/>
          <w:lang w:eastAsia="pt-BR"/>
        </w:rPr>
        <w:t xml:space="preserve">em suas carteiras, </w:t>
      </w:r>
      <w:r w:rsidR="003B7FB8">
        <w:rPr>
          <w:rFonts w:eastAsiaTheme="minorEastAsia"/>
          <w:bCs/>
          <w:lang w:eastAsia="pt-BR"/>
        </w:rPr>
        <w:t xml:space="preserve">dentre os quais os </w:t>
      </w:r>
      <w:r w:rsidR="003B7FB8">
        <w:rPr>
          <w:rFonts w:eastAsiaTheme="minorEastAsia"/>
          <w:bCs/>
          <w:lang w:eastAsia="pt-BR"/>
        </w:rPr>
        <w:lastRenderedPageBreak/>
        <w:t xml:space="preserve">títulos de renda fixa e ações </w:t>
      </w:r>
      <w:r w:rsidRPr="007737D3">
        <w:rPr>
          <w:rFonts w:eastAsiaTheme="minorEastAsia"/>
          <w:bCs/>
          <w:lang w:eastAsia="pt-BR"/>
        </w:rPr>
        <w:t xml:space="preserve">dos </w:t>
      </w:r>
      <w:r w:rsidRPr="003B7FB8">
        <w:rPr>
          <w:rFonts w:eastAsiaTheme="minorEastAsia"/>
          <w:bCs/>
          <w:lang w:eastAsia="pt-BR"/>
        </w:rPr>
        <w:t xml:space="preserve">países </w:t>
      </w:r>
      <w:r w:rsidR="00E1579C" w:rsidRPr="003B7FB8">
        <w:rPr>
          <w:rFonts w:eastAsiaTheme="minorEastAsia"/>
          <w:bCs/>
          <w:lang w:eastAsia="pt-BR"/>
        </w:rPr>
        <w:t>em desenvolvimento</w:t>
      </w:r>
      <w:r w:rsidRPr="003B7FB8">
        <w:rPr>
          <w:rFonts w:eastAsiaTheme="minorEastAsia"/>
          <w:bCs/>
          <w:lang w:eastAsia="pt-BR"/>
        </w:rPr>
        <w:t xml:space="preserve"> se enqua</w:t>
      </w:r>
      <w:r w:rsidRPr="007737D3">
        <w:rPr>
          <w:rFonts w:eastAsiaTheme="minorEastAsia"/>
          <w:bCs/>
          <w:lang w:eastAsia="pt-BR"/>
        </w:rPr>
        <w:t>dram (Prates, 2002 e Cintra e Prates, 2006).</w:t>
      </w:r>
    </w:p>
    <w:p w14:paraId="0201FC56" w14:textId="72DE4E8E" w:rsidR="00E25A6E" w:rsidRDefault="003B7FB8" w:rsidP="00FC2664">
      <w:pPr>
        <w:spacing w:line="480" w:lineRule="auto"/>
        <w:ind w:firstLine="851"/>
        <w:rPr>
          <w:rFonts w:eastAsiaTheme="minorEastAsia"/>
          <w:bCs/>
          <w:lang w:eastAsia="pt-BR"/>
        </w:rPr>
      </w:pPr>
      <w:r>
        <w:rPr>
          <w:rFonts w:eastAsiaTheme="minorEastAsia"/>
          <w:bCs/>
          <w:lang w:eastAsia="pt-BR"/>
        </w:rPr>
        <w:t xml:space="preserve">A segunda </w:t>
      </w:r>
      <w:r w:rsidR="006E7B50" w:rsidRPr="007737D3">
        <w:rPr>
          <w:rFonts w:eastAsiaTheme="minorEastAsia"/>
          <w:bCs/>
          <w:lang w:eastAsia="pt-BR"/>
        </w:rPr>
        <w:t xml:space="preserve">assimetria do sistema financeiro internacional </w:t>
      </w:r>
      <w:r>
        <w:rPr>
          <w:rFonts w:eastAsiaTheme="minorEastAsia"/>
          <w:bCs/>
          <w:lang w:eastAsia="pt-BR"/>
        </w:rPr>
        <w:t xml:space="preserve">diz respeito </w:t>
      </w:r>
      <w:r w:rsidR="006E7B50" w:rsidRPr="007737D3">
        <w:rPr>
          <w:rFonts w:eastAsiaTheme="minorEastAsia"/>
          <w:bCs/>
          <w:lang w:eastAsia="pt-BR"/>
        </w:rPr>
        <w:t>às diferenças de profundidade e liquidez dos mercados.</w:t>
      </w:r>
      <w:r w:rsidR="005032CE">
        <w:rPr>
          <w:rFonts w:eastAsiaTheme="minorEastAsia"/>
          <w:bCs/>
          <w:lang w:eastAsia="pt-BR"/>
        </w:rPr>
        <w:t xml:space="preserve"> </w:t>
      </w:r>
      <w:r w:rsidR="007737D3" w:rsidRPr="007737D3">
        <w:rPr>
          <w:rFonts w:eastAsiaTheme="minorEastAsia"/>
          <w:bCs/>
          <w:lang w:eastAsia="pt-BR"/>
        </w:rPr>
        <w:t xml:space="preserve">De um lado, o volume dos fluxos de capitais destinados aos países </w:t>
      </w:r>
      <w:r w:rsidR="00E1579C">
        <w:rPr>
          <w:rFonts w:eastAsiaTheme="minorEastAsia"/>
          <w:bCs/>
          <w:lang w:eastAsia="pt-BR"/>
        </w:rPr>
        <w:t>em desenvolvimento</w:t>
      </w:r>
      <w:r w:rsidR="007737D3" w:rsidRPr="007737D3">
        <w:rPr>
          <w:rFonts w:eastAsiaTheme="minorEastAsia"/>
          <w:bCs/>
          <w:lang w:eastAsia="pt-BR"/>
        </w:rPr>
        <w:t xml:space="preserve"> </w:t>
      </w:r>
      <w:r>
        <w:rPr>
          <w:rFonts w:eastAsiaTheme="minorEastAsia"/>
          <w:bCs/>
          <w:lang w:eastAsia="pt-BR"/>
        </w:rPr>
        <w:t>é significativo frente à dimensão dos respectivos</w:t>
      </w:r>
      <w:r w:rsidR="007737D3" w:rsidRPr="007737D3">
        <w:rPr>
          <w:rFonts w:eastAsiaTheme="minorEastAsia"/>
          <w:bCs/>
          <w:lang w:eastAsia="pt-BR"/>
        </w:rPr>
        <w:t xml:space="preserve"> mercado</w:t>
      </w:r>
      <w:r>
        <w:rPr>
          <w:rFonts w:eastAsiaTheme="minorEastAsia"/>
          <w:bCs/>
          <w:lang w:eastAsia="pt-BR"/>
        </w:rPr>
        <w:t>s</w:t>
      </w:r>
      <w:r w:rsidR="007737D3" w:rsidRPr="007737D3">
        <w:rPr>
          <w:rFonts w:eastAsiaTheme="minorEastAsia"/>
          <w:bCs/>
          <w:lang w:eastAsia="pt-BR"/>
        </w:rPr>
        <w:t xml:space="preserve"> financeiro e cambial. Deste modo, </w:t>
      </w:r>
      <w:r>
        <w:rPr>
          <w:rFonts w:eastAsiaTheme="minorEastAsia"/>
          <w:bCs/>
          <w:lang w:eastAsia="pt-BR"/>
        </w:rPr>
        <w:t xml:space="preserve">os </w:t>
      </w:r>
      <w:r w:rsidR="007737D3" w:rsidRPr="007737D3">
        <w:rPr>
          <w:rFonts w:eastAsiaTheme="minorEastAsia"/>
          <w:bCs/>
          <w:lang w:eastAsia="pt-BR"/>
        </w:rPr>
        <w:t xml:space="preserve">recursos </w:t>
      </w:r>
      <w:r w:rsidR="008413FB">
        <w:rPr>
          <w:rFonts w:eastAsiaTheme="minorEastAsia"/>
          <w:bCs/>
          <w:lang w:eastAsia="pt-BR"/>
        </w:rPr>
        <w:t xml:space="preserve">externos </w:t>
      </w:r>
      <w:r w:rsidR="007737D3" w:rsidRPr="007737D3">
        <w:rPr>
          <w:rFonts w:eastAsiaTheme="minorEastAsia"/>
          <w:bCs/>
          <w:lang w:eastAsia="pt-BR"/>
        </w:rPr>
        <w:t xml:space="preserve">que </w:t>
      </w:r>
      <w:r w:rsidR="00D00D51">
        <w:rPr>
          <w:rFonts w:eastAsiaTheme="minorEastAsia"/>
          <w:bCs/>
          <w:lang w:eastAsia="pt-BR"/>
        </w:rPr>
        <w:t>ingressa</w:t>
      </w:r>
      <w:r>
        <w:rPr>
          <w:rFonts w:eastAsiaTheme="minorEastAsia"/>
          <w:bCs/>
          <w:lang w:eastAsia="pt-BR"/>
        </w:rPr>
        <w:t>m</w:t>
      </w:r>
      <w:r w:rsidR="00D00D51">
        <w:rPr>
          <w:rFonts w:eastAsiaTheme="minorEastAsia"/>
          <w:bCs/>
          <w:lang w:eastAsia="pt-BR"/>
        </w:rPr>
        <w:t xml:space="preserve"> n</w:t>
      </w:r>
      <w:r>
        <w:rPr>
          <w:rFonts w:eastAsiaTheme="minorEastAsia"/>
          <w:bCs/>
          <w:lang w:eastAsia="pt-BR"/>
        </w:rPr>
        <w:t xml:space="preserve">esses países </w:t>
      </w:r>
      <w:r w:rsidR="007737D3" w:rsidRPr="007737D3">
        <w:rPr>
          <w:rFonts w:eastAsiaTheme="minorEastAsia"/>
          <w:bCs/>
          <w:lang w:eastAsia="pt-BR"/>
        </w:rPr>
        <w:t xml:space="preserve">em </w:t>
      </w:r>
      <w:r>
        <w:rPr>
          <w:rFonts w:eastAsiaTheme="minorEastAsia"/>
          <w:bCs/>
          <w:lang w:eastAsia="pt-BR"/>
        </w:rPr>
        <w:t>fases</w:t>
      </w:r>
      <w:r w:rsidR="007737D3" w:rsidRPr="007737D3">
        <w:rPr>
          <w:rFonts w:eastAsiaTheme="minorEastAsia"/>
          <w:bCs/>
          <w:lang w:eastAsia="pt-BR"/>
        </w:rPr>
        <w:t xml:space="preserve"> de grande otimismo pode</w:t>
      </w:r>
      <w:r>
        <w:rPr>
          <w:rFonts w:eastAsiaTheme="minorEastAsia"/>
          <w:bCs/>
          <w:lang w:eastAsia="pt-BR"/>
        </w:rPr>
        <w:t>m</w:t>
      </w:r>
      <w:r w:rsidR="007737D3" w:rsidRPr="007737D3">
        <w:rPr>
          <w:rFonts w:eastAsiaTheme="minorEastAsia"/>
          <w:bCs/>
          <w:lang w:eastAsia="pt-BR"/>
        </w:rPr>
        <w:t xml:space="preserve"> alterar bruscamente as condições então vigentes. De outro lado, esse volume equivale a uma pequena par</w:t>
      </w:r>
      <w:r w:rsidR="008413FB">
        <w:rPr>
          <w:rFonts w:eastAsiaTheme="minorEastAsia"/>
          <w:bCs/>
          <w:lang w:eastAsia="pt-BR"/>
        </w:rPr>
        <w:t>cela</w:t>
      </w:r>
      <w:r w:rsidR="007737D3" w:rsidRPr="007737D3">
        <w:rPr>
          <w:rFonts w:eastAsiaTheme="minorEastAsia"/>
          <w:bCs/>
          <w:lang w:eastAsia="pt-BR"/>
        </w:rPr>
        <w:t xml:space="preserve"> do portfólio dos grandes </w:t>
      </w:r>
      <w:r w:rsidR="007737D3" w:rsidRPr="000B7AA4">
        <w:rPr>
          <w:rFonts w:eastAsiaTheme="minorEastAsia"/>
          <w:bCs/>
          <w:i/>
          <w:lang w:eastAsia="pt-BR"/>
        </w:rPr>
        <w:t>players</w:t>
      </w:r>
      <w:r w:rsidR="007737D3" w:rsidRPr="007737D3">
        <w:rPr>
          <w:rFonts w:eastAsiaTheme="minorEastAsia"/>
          <w:bCs/>
          <w:lang w:eastAsia="pt-BR"/>
        </w:rPr>
        <w:t xml:space="preserve"> internacionais</w:t>
      </w:r>
      <w:r w:rsidR="008413FB">
        <w:rPr>
          <w:rFonts w:eastAsiaTheme="minorEastAsia"/>
          <w:bCs/>
          <w:lang w:eastAsia="pt-BR"/>
        </w:rPr>
        <w:t xml:space="preserve">; </w:t>
      </w:r>
      <w:r w:rsidR="007737D3" w:rsidRPr="007737D3">
        <w:rPr>
          <w:rFonts w:eastAsiaTheme="minorEastAsia"/>
          <w:bCs/>
          <w:lang w:eastAsia="pt-BR"/>
        </w:rPr>
        <w:t>caso eles decidam alterar suas posições, seja por uma simples mudança de estratégia, seja pela</w:t>
      </w:r>
      <w:r w:rsidR="00D00D51">
        <w:rPr>
          <w:rFonts w:eastAsiaTheme="minorEastAsia"/>
          <w:bCs/>
          <w:lang w:eastAsia="pt-BR"/>
        </w:rPr>
        <w:t xml:space="preserve"> </w:t>
      </w:r>
      <w:r w:rsidR="007737D3" w:rsidRPr="007737D3">
        <w:rPr>
          <w:rFonts w:eastAsiaTheme="minorEastAsia"/>
          <w:bCs/>
          <w:lang w:eastAsia="pt-BR"/>
        </w:rPr>
        <w:t>reversão d</w:t>
      </w:r>
      <w:r w:rsidR="008413FB">
        <w:rPr>
          <w:rFonts w:eastAsiaTheme="minorEastAsia"/>
          <w:bCs/>
          <w:lang w:eastAsia="pt-BR"/>
        </w:rPr>
        <w:t>o ciclo d</w:t>
      </w:r>
      <w:r w:rsidR="007737D3" w:rsidRPr="007737D3">
        <w:rPr>
          <w:rFonts w:eastAsiaTheme="minorEastAsia"/>
          <w:bCs/>
          <w:lang w:eastAsia="pt-BR"/>
        </w:rPr>
        <w:t>e liquidez internacional, ocasionarão impactos severos</w:t>
      </w:r>
      <w:r w:rsidR="000B7AA4">
        <w:rPr>
          <w:rFonts w:eastAsiaTheme="minorEastAsia"/>
          <w:bCs/>
          <w:lang w:eastAsia="pt-BR"/>
        </w:rPr>
        <w:t xml:space="preserve"> nos fluxos de capitais para e</w:t>
      </w:r>
      <w:r w:rsidR="007737D3" w:rsidRPr="007737D3">
        <w:rPr>
          <w:rFonts w:eastAsiaTheme="minorEastAsia"/>
          <w:bCs/>
          <w:lang w:eastAsia="pt-BR"/>
        </w:rPr>
        <w:t>ssas economias</w:t>
      </w:r>
      <w:r w:rsidR="005032CE">
        <w:rPr>
          <w:rFonts w:eastAsiaTheme="minorEastAsia"/>
          <w:bCs/>
          <w:lang w:eastAsia="pt-BR"/>
        </w:rPr>
        <w:t xml:space="preserve"> </w:t>
      </w:r>
      <w:r w:rsidR="005032CE" w:rsidRPr="007737D3">
        <w:rPr>
          <w:rFonts w:eastAsiaTheme="minorEastAsia"/>
          <w:bCs/>
          <w:lang w:eastAsia="pt-BR"/>
        </w:rPr>
        <w:t>(PRATES, 2002)</w:t>
      </w:r>
      <w:r w:rsidR="007737D3" w:rsidRPr="007737D3">
        <w:rPr>
          <w:rFonts w:eastAsiaTheme="minorEastAsia"/>
          <w:bCs/>
          <w:lang w:eastAsia="pt-BR"/>
        </w:rPr>
        <w:t>.</w:t>
      </w:r>
      <w:r w:rsidR="00E25A6E">
        <w:rPr>
          <w:rFonts w:eastAsiaTheme="minorEastAsia"/>
          <w:bCs/>
          <w:lang w:eastAsia="pt-BR"/>
        </w:rPr>
        <w:t xml:space="preserve"> Devido </w:t>
      </w:r>
      <w:r w:rsidR="0035294B">
        <w:rPr>
          <w:rFonts w:eastAsiaTheme="minorEastAsia"/>
          <w:bCs/>
          <w:lang w:eastAsia="pt-BR"/>
        </w:rPr>
        <w:t xml:space="preserve">a essas possíveis saídas abruptas, os países em desenvolvimento se veem obrigados a manter elevadas reservas internacionais, as quais muitas vezes, </w:t>
      </w:r>
      <w:r w:rsidR="00300484">
        <w:rPr>
          <w:rFonts w:eastAsiaTheme="minorEastAsia"/>
          <w:bCs/>
          <w:lang w:eastAsia="pt-BR"/>
        </w:rPr>
        <w:t>decorrente</w:t>
      </w:r>
      <w:r w:rsidR="0035294B">
        <w:rPr>
          <w:rFonts w:eastAsiaTheme="minorEastAsia"/>
          <w:bCs/>
          <w:lang w:eastAsia="pt-BR"/>
        </w:rPr>
        <w:t xml:space="preserve"> </w:t>
      </w:r>
      <w:r w:rsidR="00300484">
        <w:rPr>
          <w:rFonts w:eastAsiaTheme="minorEastAsia"/>
          <w:bCs/>
          <w:lang w:eastAsia="pt-BR"/>
        </w:rPr>
        <w:t>do</w:t>
      </w:r>
      <w:r w:rsidR="0035294B">
        <w:rPr>
          <w:rFonts w:eastAsiaTheme="minorEastAsia"/>
          <w:bCs/>
          <w:lang w:eastAsia="pt-BR"/>
        </w:rPr>
        <w:t xml:space="preserve"> diferencial de juros, </w:t>
      </w:r>
      <w:proofErr w:type="gramStart"/>
      <w:r w:rsidR="00300484">
        <w:rPr>
          <w:rFonts w:eastAsiaTheme="minorEastAsia"/>
          <w:bCs/>
          <w:lang w:eastAsia="pt-BR"/>
        </w:rPr>
        <w:t>acarretam</w:t>
      </w:r>
      <w:proofErr w:type="gramEnd"/>
      <w:r w:rsidR="00300484">
        <w:rPr>
          <w:rFonts w:eastAsiaTheme="minorEastAsia"/>
          <w:bCs/>
          <w:lang w:eastAsia="pt-BR"/>
        </w:rPr>
        <w:t xml:space="preserve"> custos fiscais significativos. </w:t>
      </w:r>
    </w:p>
    <w:p w14:paraId="469C668E" w14:textId="77777777" w:rsidR="0054411B" w:rsidRDefault="0054411B" w:rsidP="00FC2664">
      <w:pPr>
        <w:spacing w:line="480" w:lineRule="auto"/>
        <w:ind w:firstLine="851"/>
      </w:pPr>
    </w:p>
    <w:p w14:paraId="79173A23" w14:textId="77777777" w:rsidR="00367569" w:rsidRPr="000A0093" w:rsidRDefault="008206F4" w:rsidP="00FC2664">
      <w:pPr>
        <w:pStyle w:val="Ttulo2"/>
        <w:spacing w:before="0" w:line="480" w:lineRule="auto"/>
        <w:rPr>
          <w:color w:val="auto"/>
        </w:rPr>
      </w:pPr>
      <w:r>
        <w:rPr>
          <w:color w:val="auto"/>
        </w:rPr>
        <w:t>2</w:t>
      </w:r>
      <w:r w:rsidR="00E66C66" w:rsidRPr="000A0093">
        <w:rPr>
          <w:color w:val="auto"/>
        </w:rPr>
        <w:t>.</w:t>
      </w:r>
      <w:r w:rsidR="00367569" w:rsidRPr="000A0093">
        <w:rPr>
          <w:color w:val="auto"/>
        </w:rPr>
        <w:t xml:space="preserve"> Revisão empírica</w:t>
      </w:r>
    </w:p>
    <w:p w14:paraId="0B1E47C8" w14:textId="77777777" w:rsidR="00367569" w:rsidRPr="000A0093" w:rsidRDefault="00367569" w:rsidP="00FC2664">
      <w:pPr>
        <w:spacing w:line="480" w:lineRule="auto"/>
        <w:ind w:firstLine="851"/>
        <w:rPr>
          <w:bCs/>
        </w:rPr>
      </w:pPr>
      <w:r w:rsidRPr="000A0093">
        <w:rPr>
          <w:bCs/>
        </w:rPr>
        <w:t xml:space="preserve">Um dos trabalhos empíricos pioneiros que buscaram estimar a preponderância dos </w:t>
      </w:r>
      <w:proofErr w:type="spellStart"/>
      <w:r w:rsidRPr="000A0093">
        <w:rPr>
          <w:bCs/>
          <w:i/>
        </w:rPr>
        <w:t>push</w:t>
      </w:r>
      <w:proofErr w:type="spellEnd"/>
      <w:r w:rsidRPr="000A0093">
        <w:rPr>
          <w:bCs/>
        </w:rPr>
        <w:t xml:space="preserve"> e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foi Calvo, </w:t>
      </w:r>
      <w:proofErr w:type="spellStart"/>
      <w:r w:rsidRPr="000A0093">
        <w:rPr>
          <w:bCs/>
        </w:rPr>
        <w:t>Leiderman</w:t>
      </w:r>
      <w:proofErr w:type="spellEnd"/>
      <w:r w:rsidRPr="000A0093">
        <w:rPr>
          <w:bCs/>
        </w:rPr>
        <w:t xml:space="preserve"> e </w:t>
      </w:r>
      <w:proofErr w:type="spellStart"/>
      <w:r w:rsidRPr="000A0093">
        <w:rPr>
          <w:bCs/>
        </w:rPr>
        <w:t>Reinhart</w:t>
      </w:r>
      <w:proofErr w:type="spellEnd"/>
      <w:r w:rsidRPr="000A0093">
        <w:rPr>
          <w:bCs/>
        </w:rPr>
        <w:t xml:space="preserve"> (1993). Os autores realizaram estimativas com base na técnica VAR para dez países latinos americanos durante o período que engloba janeiro de 1988 </w:t>
      </w:r>
      <w:r w:rsidR="007D5E8A" w:rsidRPr="000A0093">
        <w:rPr>
          <w:bCs/>
        </w:rPr>
        <w:t>a</w:t>
      </w:r>
      <w:r w:rsidRPr="000A0093">
        <w:rPr>
          <w:bCs/>
        </w:rPr>
        <w:t xml:space="preserve"> dezembro de 1991</w:t>
      </w:r>
      <w:r w:rsidR="007174A9" w:rsidRPr="000A0093">
        <w:rPr>
          <w:rStyle w:val="Refdenotaderodap"/>
          <w:bCs/>
        </w:rPr>
        <w:footnoteReference w:id="7"/>
      </w:r>
      <w:r w:rsidRPr="000A0093">
        <w:rPr>
          <w:bCs/>
        </w:rPr>
        <w:t>. Os resultados obtidos apontam para a maior relevância dos fatores exógenos, em especial a taxa de juros dos Estados Unidos que havia se reduzido no período em questão.</w:t>
      </w:r>
    </w:p>
    <w:p w14:paraId="23B468E6" w14:textId="77777777" w:rsidR="00367569" w:rsidRPr="000A0093" w:rsidRDefault="007174A9" w:rsidP="00FC2664">
      <w:pPr>
        <w:spacing w:line="480" w:lineRule="auto"/>
        <w:ind w:firstLine="851"/>
        <w:rPr>
          <w:bCs/>
        </w:rPr>
      </w:pPr>
      <w:r w:rsidRPr="000A0093">
        <w:rPr>
          <w:bCs/>
        </w:rPr>
        <w:t>Fernandez-Arias (1996)</w:t>
      </w:r>
      <w:r w:rsidR="00367569" w:rsidRPr="000A0093">
        <w:rPr>
          <w:bCs/>
        </w:rPr>
        <w:t xml:space="preserve"> </w:t>
      </w:r>
      <w:r w:rsidR="00B90077">
        <w:rPr>
          <w:bCs/>
        </w:rPr>
        <w:t>obteve</w:t>
      </w:r>
      <w:r w:rsidR="00367569" w:rsidRPr="000A0093">
        <w:rPr>
          <w:bCs/>
        </w:rPr>
        <w:t xml:space="preserve"> resultados </w:t>
      </w:r>
      <w:r w:rsidR="00F92AC5" w:rsidRPr="000A0093">
        <w:rPr>
          <w:bCs/>
        </w:rPr>
        <w:t>semelhantes</w:t>
      </w:r>
      <w:r w:rsidRPr="000A0093">
        <w:rPr>
          <w:bCs/>
        </w:rPr>
        <w:t xml:space="preserve"> ao estudo anterior</w:t>
      </w:r>
      <w:r w:rsidR="00F92AC5" w:rsidRPr="000A0093">
        <w:rPr>
          <w:bCs/>
        </w:rPr>
        <w:t xml:space="preserve">, </w:t>
      </w:r>
      <w:r w:rsidR="00367569" w:rsidRPr="000A0093">
        <w:rPr>
          <w:bCs/>
        </w:rPr>
        <w:t>encontra</w:t>
      </w:r>
      <w:r w:rsidR="00F92AC5" w:rsidRPr="000A0093">
        <w:rPr>
          <w:bCs/>
        </w:rPr>
        <w:t>ndo</w:t>
      </w:r>
      <w:r w:rsidR="00367569" w:rsidRPr="000A0093">
        <w:rPr>
          <w:bCs/>
        </w:rPr>
        <w:t xml:space="preserve"> estimativas significativas entre a taxa de juros dos Estados Unidos </w:t>
      </w:r>
      <w:r w:rsidR="00F92AC5" w:rsidRPr="000A0093">
        <w:rPr>
          <w:bCs/>
        </w:rPr>
        <w:t>e</w:t>
      </w:r>
      <w:r w:rsidR="00367569" w:rsidRPr="000A0093">
        <w:rPr>
          <w:bCs/>
        </w:rPr>
        <w:t xml:space="preserve"> a entrada líquida dos fluxos financeiros. </w:t>
      </w:r>
      <w:r w:rsidR="00D6063A" w:rsidRPr="000A0093">
        <w:rPr>
          <w:bCs/>
        </w:rPr>
        <w:t>A</w:t>
      </w:r>
      <w:r w:rsidR="00367569" w:rsidRPr="000A0093">
        <w:rPr>
          <w:bCs/>
        </w:rPr>
        <w:t xml:space="preserve">lém da importância direta </w:t>
      </w:r>
      <w:r w:rsidR="00D6063A" w:rsidRPr="000A0093">
        <w:rPr>
          <w:bCs/>
        </w:rPr>
        <w:t>d</w:t>
      </w:r>
      <w:r w:rsidR="00367569" w:rsidRPr="000A0093">
        <w:rPr>
          <w:bCs/>
        </w:rPr>
        <w:t>essa variável, ela mostrou</w:t>
      </w:r>
      <w:r w:rsidR="00D6063A" w:rsidRPr="000A0093">
        <w:rPr>
          <w:bCs/>
        </w:rPr>
        <w:t>-se</w:t>
      </w:r>
      <w:r w:rsidR="00367569" w:rsidRPr="000A0093">
        <w:rPr>
          <w:bCs/>
        </w:rPr>
        <w:t xml:space="preserve"> determinante no comportamento do risco de crédito dos países em desenvolvimento. Ao mesmo tempo, variáveis </w:t>
      </w:r>
      <w:r w:rsidR="00367569" w:rsidRPr="000A0093">
        <w:rPr>
          <w:bCs/>
        </w:rPr>
        <w:lastRenderedPageBreak/>
        <w:t xml:space="preserve">internas, </w:t>
      </w:r>
      <w:r w:rsidR="00D6063A" w:rsidRPr="000A0093">
        <w:rPr>
          <w:bCs/>
        </w:rPr>
        <w:t xml:space="preserve">como </w:t>
      </w:r>
      <w:r w:rsidR="00367569" w:rsidRPr="000A0093">
        <w:rPr>
          <w:bCs/>
        </w:rPr>
        <w:t xml:space="preserve">o estoque de capital externo e </w:t>
      </w:r>
      <w:r w:rsidR="008153FB" w:rsidRPr="000A0093">
        <w:rPr>
          <w:bCs/>
        </w:rPr>
        <w:t xml:space="preserve">o </w:t>
      </w:r>
      <w:r w:rsidR="00367569" w:rsidRPr="000A0093">
        <w:rPr>
          <w:bCs/>
        </w:rPr>
        <w:t xml:space="preserve">total </w:t>
      </w:r>
      <w:r w:rsidR="009D6DB8" w:rsidRPr="000A0093">
        <w:rPr>
          <w:bCs/>
        </w:rPr>
        <w:t xml:space="preserve">das reservas internacionais </w:t>
      </w:r>
      <w:r w:rsidR="00367569" w:rsidRPr="000A0093">
        <w:rPr>
          <w:bCs/>
        </w:rPr>
        <w:t>não apresentaram resultados significativos.</w:t>
      </w:r>
    </w:p>
    <w:p w14:paraId="5B28FD98" w14:textId="77777777" w:rsidR="00367569" w:rsidRPr="000A0093" w:rsidRDefault="00367569" w:rsidP="00FC2664">
      <w:pPr>
        <w:spacing w:line="480" w:lineRule="auto"/>
        <w:ind w:firstLine="851"/>
        <w:rPr>
          <w:bCs/>
        </w:rPr>
      </w:pPr>
      <w:proofErr w:type="spellStart"/>
      <w:r w:rsidRPr="000A0093">
        <w:rPr>
          <w:bCs/>
        </w:rPr>
        <w:t>Chuhan</w:t>
      </w:r>
      <w:proofErr w:type="spellEnd"/>
      <w:r w:rsidRPr="000A0093">
        <w:rPr>
          <w:bCs/>
        </w:rPr>
        <w:t xml:space="preserve">, </w:t>
      </w:r>
      <w:proofErr w:type="spellStart"/>
      <w:r w:rsidRPr="000A0093">
        <w:rPr>
          <w:bCs/>
        </w:rPr>
        <w:t>Claessens</w:t>
      </w:r>
      <w:proofErr w:type="spellEnd"/>
      <w:r w:rsidRPr="000A0093">
        <w:rPr>
          <w:bCs/>
        </w:rPr>
        <w:t xml:space="preserve"> e </w:t>
      </w:r>
      <w:proofErr w:type="spellStart"/>
      <w:r w:rsidRPr="000A0093">
        <w:rPr>
          <w:bCs/>
        </w:rPr>
        <w:t>Mamingi</w:t>
      </w:r>
      <w:proofErr w:type="spellEnd"/>
      <w:r w:rsidRPr="000A0093">
        <w:rPr>
          <w:bCs/>
        </w:rPr>
        <w:t xml:space="preserve"> (1993) e Taylor e Sarno (1997) realiza</w:t>
      </w:r>
      <w:r w:rsidR="00D6063A" w:rsidRPr="000A0093">
        <w:rPr>
          <w:bCs/>
        </w:rPr>
        <w:t>ra</w:t>
      </w:r>
      <w:r w:rsidRPr="000A0093">
        <w:rPr>
          <w:bCs/>
        </w:rPr>
        <w:t>m estimações para investigar os determinantes dos investimentos de portfólio dos Estados Unidos em nove países latinos americanos e nove asiáticos entre janeiro de 1988 e setembro de 1992. Os resultados obtidos pelo primeiro trabalho indicam que os fluxos de capita</w:t>
      </w:r>
      <w:r w:rsidR="006C60BA" w:rsidRPr="000A0093">
        <w:rPr>
          <w:bCs/>
        </w:rPr>
        <w:t xml:space="preserve">is para </w:t>
      </w:r>
      <w:r w:rsidRPr="000A0093">
        <w:rPr>
          <w:bCs/>
        </w:rPr>
        <w:t xml:space="preserve">os países latino-americanos são determinados de forma equivalente pelos fatores internos e externos, </w:t>
      </w:r>
      <w:r w:rsidR="006C60BA" w:rsidRPr="000A0093">
        <w:rPr>
          <w:bCs/>
        </w:rPr>
        <w:t xml:space="preserve">enquanto </w:t>
      </w:r>
      <w:r w:rsidRPr="000A0093">
        <w:rPr>
          <w:bCs/>
        </w:rPr>
        <w:t xml:space="preserve">nos países asiáticos os fatores internos </w:t>
      </w:r>
      <w:r w:rsidR="006C60BA" w:rsidRPr="000A0093">
        <w:rPr>
          <w:bCs/>
        </w:rPr>
        <w:t>mostraram-se mais</w:t>
      </w:r>
      <w:r w:rsidR="009D6DB8" w:rsidRPr="000A0093">
        <w:rPr>
          <w:bCs/>
        </w:rPr>
        <w:t xml:space="preserve"> </w:t>
      </w:r>
      <w:r w:rsidRPr="000A0093">
        <w:rPr>
          <w:bCs/>
        </w:rPr>
        <w:t>relev</w:t>
      </w:r>
      <w:r w:rsidR="006C60BA" w:rsidRPr="000A0093">
        <w:rPr>
          <w:bCs/>
        </w:rPr>
        <w:t>antes</w:t>
      </w:r>
      <w:r w:rsidRPr="000A0093">
        <w:rPr>
          <w:bCs/>
        </w:rPr>
        <w:t>. O segundo trabalho conclui</w:t>
      </w:r>
      <w:r w:rsidR="006C60BA" w:rsidRPr="000A0093">
        <w:rPr>
          <w:bCs/>
        </w:rPr>
        <w:t>u</w:t>
      </w:r>
      <w:r w:rsidRPr="000A0093">
        <w:rPr>
          <w:bCs/>
        </w:rPr>
        <w:t xml:space="preserve"> que </w:t>
      </w:r>
      <w:r w:rsidR="006C60BA" w:rsidRPr="000A0093">
        <w:rPr>
          <w:bCs/>
        </w:rPr>
        <w:t xml:space="preserve">tanto os </w:t>
      </w:r>
      <w:proofErr w:type="spellStart"/>
      <w:r w:rsidRPr="000A0093">
        <w:rPr>
          <w:bCs/>
          <w:i/>
        </w:rPr>
        <w:t>push</w:t>
      </w:r>
      <w:proofErr w:type="spellEnd"/>
      <w:r w:rsidRPr="000A0093">
        <w:rPr>
          <w:bCs/>
          <w:i/>
        </w:rPr>
        <w:t xml:space="preserve"> </w:t>
      </w:r>
      <w:proofErr w:type="spellStart"/>
      <w:r w:rsidRPr="000A0093">
        <w:rPr>
          <w:bCs/>
          <w:i/>
        </w:rPr>
        <w:t>factors</w:t>
      </w:r>
      <w:proofErr w:type="spellEnd"/>
      <w:r w:rsidRPr="000A0093">
        <w:rPr>
          <w:bCs/>
        </w:rPr>
        <w:t xml:space="preserve"> </w:t>
      </w:r>
      <w:r w:rsidR="006C60BA" w:rsidRPr="000A0093">
        <w:rPr>
          <w:bCs/>
        </w:rPr>
        <w:t xml:space="preserve">como </w:t>
      </w:r>
      <w:r w:rsidRPr="000A0093">
        <w:rPr>
          <w:bCs/>
        </w:rPr>
        <w:t xml:space="preserve">os </w:t>
      </w:r>
      <w:proofErr w:type="spellStart"/>
      <w:r w:rsidRPr="000A0093">
        <w:rPr>
          <w:bCs/>
          <w:i/>
        </w:rPr>
        <w:t>pull</w:t>
      </w:r>
      <w:proofErr w:type="spellEnd"/>
      <w:r w:rsidRPr="000A0093">
        <w:rPr>
          <w:bCs/>
          <w:i/>
        </w:rPr>
        <w:t xml:space="preserve"> </w:t>
      </w:r>
      <w:proofErr w:type="spellStart"/>
      <w:r w:rsidRPr="000A0093">
        <w:rPr>
          <w:bCs/>
          <w:i/>
        </w:rPr>
        <w:t>fators</w:t>
      </w:r>
      <w:proofErr w:type="spellEnd"/>
      <w:r w:rsidRPr="000A0093">
        <w:rPr>
          <w:bCs/>
        </w:rPr>
        <w:t xml:space="preserve"> </w:t>
      </w:r>
      <w:r w:rsidR="006C60BA" w:rsidRPr="000A0093">
        <w:rPr>
          <w:bCs/>
        </w:rPr>
        <w:t xml:space="preserve">são importantes </w:t>
      </w:r>
      <w:r w:rsidRPr="000A0093">
        <w:rPr>
          <w:bCs/>
        </w:rPr>
        <w:t>determinantes de longo prazo d</w:t>
      </w:r>
      <w:r w:rsidR="006C60BA" w:rsidRPr="000A0093">
        <w:rPr>
          <w:bCs/>
        </w:rPr>
        <w:t>os investimentos em</w:t>
      </w:r>
      <w:r w:rsidRPr="000A0093">
        <w:rPr>
          <w:bCs/>
        </w:rPr>
        <w:t xml:space="preserve"> ações e títulos</w:t>
      </w:r>
      <w:r w:rsidR="009D465A" w:rsidRPr="000A0093">
        <w:rPr>
          <w:bCs/>
        </w:rPr>
        <w:t xml:space="preserve"> de renda fixa</w:t>
      </w:r>
      <w:r w:rsidR="006C60BA" w:rsidRPr="000A0093">
        <w:rPr>
          <w:bCs/>
        </w:rPr>
        <w:t xml:space="preserve">; em contrapartida, os </w:t>
      </w:r>
      <w:proofErr w:type="spellStart"/>
      <w:r w:rsidR="006C60BA" w:rsidRPr="000A0093">
        <w:rPr>
          <w:bCs/>
          <w:i/>
        </w:rPr>
        <w:t>push</w:t>
      </w:r>
      <w:proofErr w:type="spellEnd"/>
      <w:r w:rsidR="006C60BA" w:rsidRPr="000A0093">
        <w:rPr>
          <w:bCs/>
          <w:i/>
        </w:rPr>
        <w:t xml:space="preserve"> </w:t>
      </w:r>
      <w:proofErr w:type="spellStart"/>
      <w:r w:rsidR="006C60BA" w:rsidRPr="000A0093">
        <w:rPr>
          <w:bCs/>
          <w:i/>
        </w:rPr>
        <w:t>factors</w:t>
      </w:r>
      <w:proofErr w:type="spellEnd"/>
      <w:r w:rsidRPr="000A0093">
        <w:rPr>
          <w:bCs/>
        </w:rPr>
        <w:t xml:space="preserve"> </w:t>
      </w:r>
      <w:r w:rsidR="006C60BA" w:rsidRPr="000A0093">
        <w:rPr>
          <w:bCs/>
        </w:rPr>
        <w:t xml:space="preserve">são </w:t>
      </w:r>
      <w:r w:rsidRPr="000A0093">
        <w:rPr>
          <w:bCs/>
        </w:rPr>
        <w:t>preponder</w:t>
      </w:r>
      <w:r w:rsidR="006C60BA" w:rsidRPr="000A0093">
        <w:rPr>
          <w:bCs/>
        </w:rPr>
        <w:t xml:space="preserve">antes no caso dos </w:t>
      </w:r>
      <w:r w:rsidR="009D465A" w:rsidRPr="000A0093">
        <w:rPr>
          <w:bCs/>
        </w:rPr>
        <w:t xml:space="preserve">investimentos </w:t>
      </w:r>
      <w:r w:rsidRPr="000A0093">
        <w:rPr>
          <w:bCs/>
        </w:rPr>
        <w:t xml:space="preserve">de curto prazo </w:t>
      </w:r>
      <w:r w:rsidR="009D465A" w:rsidRPr="000A0093">
        <w:rPr>
          <w:bCs/>
        </w:rPr>
        <w:t>em</w:t>
      </w:r>
      <w:r w:rsidRPr="000A0093">
        <w:rPr>
          <w:bCs/>
        </w:rPr>
        <w:t xml:space="preserve"> títulos.</w:t>
      </w:r>
    </w:p>
    <w:p w14:paraId="4E959958" w14:textId="27A80370" w:rsidR="006252BB" w:rsidRPr="000A0093" w:rsidRDefault="00367569" w:rsidP="00FC2664">
      <w:pPr>
        <w:spacing w:line="480" w:lineRule="auto"/>
        <w:ind w:firstLine="851"/>
        <w:rPr>
          <w:bCs/>
        </w:rPr>
      </w:pPr>
      <w:r w:rsidRPr="000A0093">
        <w:rPr>
          <w:bCs/>
        </w:rPr>
        <w:t>Kim (2000) utiliz</w:t>
      </w:r>
      <w:r w:rsidR="009D465A" w:rsidRPr="000A0093">
        <w:rPr>
          <w:bCs/>
        </w:rPr>
        <w:t>ou</w:t>
      </w:r>
      <w:r w:rsidRPr="000A0093">
        <w:rPr>
          <w:bCs/>
        </w:rPr>
        <w:t xml:space="preserve"> como variáveis </w:t>
      </w:r>
      <w:r w:rsidR="009D465A" w:rsidRPr="000A0093">
        <w:rPr>
          <w:bCs/>
        </w:rPr>
        <w:t xml:space="preserve">externas </w:t>
      </w:r>
      <w:r w:rsidRPr="000A0093">
        <w:rPr>
          <w:bCs/>
        </w:rPr>
        <w:t xml:space="preserve">para estimar os determinantes da conta capital e financeira em quatro países </w:t>
      </w:r>
      <w:r w:rsidR="00E1579C">
        <w:rPr>
          <w:bCs/>
        </w:rPr>
        <w:t>em desenvolvimento</w:t>
      </w:r>
      <w:r w:rsidRPr="000A0093">
        <w:rPr>
          <w:bCs/>
        </w:rPr>
        <w:t xml:space="preserve"> a taxa </w:t>
      </w:r>
      <w:r w:rsidR="009D465A" w:rsidRPr="000A0093">
        <w:rPr>
          <w:bCs/>
        </w:rPr>
        <w:t xml:space="preserve">de juros dos títulos </w:t>
      </w:r>
      <w:r w:rsidRPr="000A0093">
        <w:rPr>
          <w:bCs/>
        </w:rPr>
        <w:t xml:space="preserve">do </w:t>
      </w:r>
      <w:r w:rsidR="009D465A" w:rsidRPr="000A0093">
        <w:rPr>
          <w:bCs/>
        </w:rPr>
        <w:t>T</w:t>
      </w:r>
      <w:r w:rsidRPr="000A0093">
        <w:rPr>
          <w:bCs/>
        </w:rPr>
        <w:t xml:space="preserve">esouro </w:t>
      </w:r>
      <w:r w:rsidR="009D465A" w:rsidRPr="000A0093">
        <w:rPr>
          <w:bCs/>
        </w:rPr>
        <w:t>estadunidense, o</w:t>
      </w:r>
      <w:r w:rsidRPr="000A0093">
        <w:rPr>
          <w:bCs/>
        </w:rPr>
        <w:t xml:space="preserve"> PIB dos </w:t>
      </w:r>
      <w:r w:rsidR="00AD230D" w:rsidRPr="000A0093">
        <w:rPr>
          <w:bCs/>
        </w:rPr>
        <w:t>EUA</w:t>
      </w:r>
      <w:r w:rsidRPr="000A0093">
        <w:rPr>
          <w:bCs/>
        </w:rPr>
        <w:t xml:space="preserve"> e</w:t>
      </w:r>
      <w:r w:rsidR="009D465A" w:rsidRPr="000A0093">
        <w:rPr>
          <w:bCs/>
        </w:rPr>
        <w:t xml:space="preserve"> os</w:t>
      </w:r>
      <w:r w:rsidRPr="000A0093">
        <w:rPr>
          <w:bCs/>
        </w:rPr>
        <w:t xml:space="preserve"> termos de troca</w:t>
      </w:r>
      <w:r w:rsidR="009D465A" w:rsidRPr="000A0093">
        <w:rPr>
          <w:bCs/>
        </w:rPr>
        <w:t xml:space="preserve">; como </w:t>
      </w:r>
      <w:r w:rsidRPr="000A0093">
        <w:rPr>
          <w:bCs/>
        </w:rPr>
        <w:t>variáveis internas</w:t>
      </w:r>
      <w:r w:rsidR="009D465A" w:rsidRPr="000A0093">
        <w:rPr>
          <w:bCs/>
        </w:rPr>
        <w:t xml:space="preserve"> o autor considerou choques de demanda e de oferta</w:t>
      </w:r>
      <w:r w:rsidRPr="000A0093">
        <w:rPr>
          <w:bCs/>
        </w:rPr>
        <w:t xml:space="preserve">. Os resultados encontrados </w:t>
      </w:r>
      <w:r w:rsidR="009D465A" w:rsidRPr="000A0093">
        <w:rPr>
          <w:bCs/>
        </w:rPr>
        <w:t>indicam</w:t>
      </w:r>
      <w:r w:rsidRPr="000A0093">
        <w:rPr>
          <w:bCs/>
        </w:rPr>
        <w:t xml:space="preserve"> um aumento da importância dos fatores externos a partir dos anos 1980. Ou seja, a abertura financeira </w:t>
      </w:r>
      <w:r w:rsidR="004C3685" w:rsidRPr="000A0093">
        <w:rPr>
          <w:bCs/>
        </w:rPr>
        <w:t xml:space="preserve">desses países </w:t>
      </w:r>
      <w:r w:rsidRPr="000A0093">
        <w:rPr>
          <w:bCs/>
        </w:rPr>
        <w:t>intensificou a importância dos fatores externos. Em estudo semelhante, mas agora apenas para Coréia do Sul e México, Yin e Kim (2001)</w:t>
      </w:r>
      <w:r w:rsidR="00AF2B34" w:rsidRPr="000A0093">
        <w:rPr>
          <w:bCs/>
        </w:rPr>
        <w:t xml:space="preserve">, </w:t>
      </w:r>
      <w:r w:rsidRPr="000A0093">
        <w:rPr>
          <w:bCs/>
        </w:rPr>
        <w:t xml:space="preserve">os ciclos de negócios dos Estados Unidos e a taxa </w:t>
      </w:r>
      <w:r w:rsidR="006252BB" w:rsidRPr="000A0093">
        <w:rPr>
          <w:bCs/>
        </w:rPr>
        <w:t xml:space="preserve">básica </w:t>
      </w:r>
      <w:r w:rsidRPr="000A0093">
        <w:rPr>
          <w:bCs/>
        </w:rPr>
        <w:t xml:space="preserve">de juros desse país </w:t>
      </w:r>
      <w:r w:rsidR="00AF2B34" w:rsidRPr="000A0093">
        <w:rPr>
          <w:bCs/>
        </w:rPr>
        <w:t xml:space="preserve">explicam </w:t>
      </w:r>
      <w:r w:rsidRPr="000A0093">
        <w:rPr>
          <w:bCs/>
        </w:rPr>
        <w:t xml:space="preserve">mais de 50% </w:t>
      </w:r>
      <w:r w:rsidR="001D3137" w:rsidRPr="000A0093">
        <w:rPr>
          <w:bCs/>
        </w:rPr>
        <w:t>dos fluxos de capitais direcionados para os países analisados entre 1980 e 1996.</w:t>
      </w:r>
    </w:p>
    <w:p w14:paraId="5C2898BD" w14:textId="74780D5F" w:rsidR="00367569" w:rsidRPr="000A0093" w:rsidRDefault="00367569" w:rsidP="00FC2664">
      <w:pPr>
        <w:spacing w:line="480" w:lineRule="auto"/>
        <w:ind w:firstLine="851"/>
        <w:rPr>
          <w:bCs/>
        </w:rPr>
      </w:pPr>
      <w:proofErr w:type="spellStart"/>
      <w:r w:rsidRPr="000A0093">
        <w:rPr>
          <w:bCs/>
        </w:rPr>
        <w:t>Dasgupta</w:t>
      </w:r>
      <w:proofErr w:type="spellEnd"/>
      <w:r w:rsidRPr="000A0093">
        <w:rPr>
          <w:bCs/>
        </w:rPr>
        <w:t xml:space="preserve"> e </w:t>
      </w:r>
      <w:proofErr w:type="spellStart"/>
      <w:r w:rsidRPr="000A0093">
        <w:rPr>
          <w:bCs/>
        </w:rPr>
        <w:t>Ratha</w:t>
      </w:r>
      <w:proofErr w:type="spellEnd"/>
      <w:r w:rsidRPr="000A0093">
        <w:rPr>
          <w:bCs/>
        </w:rPr>
        <w:t xml:space="preserve"> (2000) </w:t>
      </w:r>
      <w:r w:rsidR="008B24E9" w:rsidRPr="000A0093">
        <w:rPr>
          <w:bCs/>
        </w:rPr>
        <w:t xml:space="preserve">consideram a decisão do </w:t>
      </w:r>
      <w:r w:rsidR="00E24A31" w:rsidRPr="000A0093">
        <w:rPr>
          <w:bCs/>
        </w:rPr>
        <w:t>montante que</w:t>
      </w:r>
      <w:r w:rsidR="008B24E9" w:rsidRPr="000A0093">
        <w:rPr>
          <w:bCs/>
        </w:rPr>
        <w:t xml:space="preserve"> os </w:t>
      </w:r>
      <w:r w:rsidR="00F37B24">
        <w:rPr>
          <w:bCs/>
        </w:rPr>
        <w:t xml:space="preserve">agentes privados </w:t>
      </w:r>
      <w:proofErr w:type="spellStart"/>
      <w:r w:rsidR="00F37B24">
        <w:rPr>
          <w:bCs/>
        </w:rPr>
        <w:t>globaisagentes</w:t>
      </w:r>
      <w:proofErr w:type="spellEnd"/>
      <w:r w:rsidR="00F37B24">
        <w:rPr>
          <w:bCs/>
        </w:rPr>
        <w:t xml:space="preserve"> privados globais</w:t>
      </w:r>
      <w:r w:rsidRPr="000A0093">
        <w:rPr>
          <w:bCs/>
        </w:rPr>
        <w:t xml:space="preserve"> </w:t>
      </w:r>
      <w:r w:rsidR="008B24E9" w:rsidRPr="000A0093">
        <w:rPr>
          <w:bCs/>
        </w:rPr>
        <w:t>alocarão</w:t>
      </w:r>
      <w:r w:rsidRPr="000A0093">
        <w:rPr>
          <w:bCs/>
        </w:rPr>
        <w:t xml:space="preserve"> nos países em desenvolvimento</w:t>
      </w:r>
      <w:r w:rsidR="008B24E9" w:rsidRPr="000A0093">
        <w:rPr>
          <w:bCs/>
        </w:rPr>
        <w:t xml:space="preserve"> como dado e buscam estimar as variáveis internas determinantes para a escolha d</w:t>
      </w:r>
      <w:r w:rsidRPr="000A0093">
        <w:rPr>
          <w:bCs/>
        </w:rPr>
        <w:t xml:space="preserve">o destino. Os resultados encontrados </w:t>
      </w:r>
      <w:r w:rsidR="004B4EFA" w:rsidRPr="000A0093">
        <w:rPr>
          <w:bCs/>
        </w:rPr>
        <w:t xml:space="preserve">sugerem </w:t>
      </w:r>
      <w:r w:rsidRPr="000A0093">
        <w:rPr>
          <w:bCs/>
        </w:rPr>
        <w:t xml:space="preserve">que tais movimentos </w:t>
      </w:r>
      <w:r w:rsidR="004B4EFA" w:rsidRPr="000A0093">
        <w:rPr>
          <w:bCs/>
        </w:rPr>
        <w:t xml:space="preserve">intensificam-se na medida em que </w:t>
      </w:r>
      <w:r w:rsidRPr="000A0093">
        <w:rPr>
          <w:bCs/>
        </w:rPr>
        <w:t>aumenta o déficit em transações correntes, o investimento direto</w:t>
      </w:r>
      <w:r w:rsidR="00795AD9" w:rsidRPr="000A0093">
        <w:rPr>
          <w:bCs/>
        </w:rPr>
        <w:t xml:space="preserve"> externo (IDE)</w:t>
      </w:r>
      <w:r w:rsidRPr="000A0093">
        <w:rPr>
          <w:bCs/>
        </w:rPr>
        <w:t>, a renda per cap</w:t>
      </w:r>
      <w:r w:rsidR="00A20042" w:rsidRPr="000A0093">
        <w:rPr>
          <w:bCs/>
        </w:rPr>
        <w:t>ita e o desempenho econômico.</w:t>
      </w:r>
    </w:p>
    <w:p w14:paraId="1C786759" w14:textId="77777777" w:rsidR="00367569" w:rsidRPr="000A0093" w:rsidRDefault="00367569" w:rsidP="00FC2664">
      <w:pPr>
        <w:spacing w:line="480" w:lineRule="auto"/>
        <w:ind w:firstLine="851"/>
        <w:rPr>
          <w:bCs/>
        </w:rPr>
      </w:pPr>
      <w:proofErr w:type="spellStart"/>
      <w:r w:rsidRPr="000A0093">
        <w:rPr>
          <w:bCs/>
        </w:rPr>
        <w:lastRenderedPageBreak/>
        <w:t>Mody</w:t>
      </w:r>
      <w:proofErr w:type="spellEnd"/>
      <w:r w:rsidRPr="000A0093">
        <w:rPr>
          <w:bCs/>
        </w:rPr>
        <w:t>, Taylor e Kim (2001) realiza</w:t>
      </w:r>
      <w:r w:rsidR="00F92AC5" w:rsidRPr="000A0093">
        <w:rPr>
          <w:bCs/>
        </w:rPr>
        <w:t>ra</w:t>
      </w:r>
      <w:r w:rsidRPr="000A0093">
        <w:rPr>
          <w:bCs/>
        </w:rPr>
        <w:t xml:space="preserve">m estimações para verificar a preponderância dos </w:t>
      </w:r>
      <w:proofErr w:type="spellStart"/>
      <w:r w:rsidRPr="000A0093">
        <w:rPr>
          <w:bCs/>
          <w:i/>
        </w:rPr>
        <w:t>push</w:t>
      </w:r>
      <w:proofErr w:type="spellEnd"/>
      <w:r w:rsidRPr="000A0093">
        <w:rPr>
          <w:bCs/>
          <w:i/>
        </w:rPr>
        <w:t xml:space="preserve"> </w:t>
      </w:r>
      <w:proofErr w:type="spellStart"/>
      <w:r w:rsidRPr="000A0093">
        <w:rPr>
          <w:bCs/>
          <w:i/>
        </w:rPr>
        <w:t>factors</w:t>
      </w:r>
      <w:proofErr w:type="spellEnd"/>
      <w:r w:rsidRPr="000A0093">
        <w:rPr>
          <w:bCs/>
        </w:rPr>
        <w:t xml:space="preserve"> ou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na determinação dos fluxos de capitais privados a 32 países em desenvolvimento entre 1990 e 2000. Com base em um modelo que utiliza um vetor de correção de erros, os autores encontraram uma maior preponderância dos fatores internos. </w:t>
      </w:r>
      <w:r w:rsidR="00CD3014" w:rsidRPr="000A0093">
        <w:rPr>
          <w:bCs/>
        </w:rPr>
        <w:t xml:space="preserve">Outro estudo no mesmo ano, </w:t>
      </w:r>
      <w:r w:rsidRPr="000A0093">
        <w:rPr>
          <w:bCs/>
        </w:rPr>
        <w:t xml:space="preserve">Hernandez, </w:t>
      </w:r>
      <w:proofErr w:type="spellStart"/>
      <w:r w:rsidRPr="000A0093">
        <w:rPr>
          <w:bCs/>
        </w:rPr>
        <w:t>Mellado</w:t>
      </w:r>
      <w:proofErr w:type="spellEnd"/>
      <w:r w:rsidRPr="000A0093">
        <w:rPr>
          <w:bCs/>
        </w:rPr>
        <w:t xml:space="preserve"> e </w:t>
      </w:r>
      <w:proofErr w:type="spellStart"/>
      <w:r w:rsidRPr="000A0093">
        <w:rPr>
          <w:bCs/>
        </w:rPr>
        <w:t>Valdes</w:t>
      </w:r>
      <w:proofErr w:type="spellEnd"/>
      <w:r w:rsidRPr="000A0093">
        <w:rPr>
          <w:bCs/>
        </w:rPr>
        <w:t xml:space="preserve"> (2001)</w:t>
      </w:r>
      <w:r w:rsidR="00CD3014" w:rsidRPr="000A0093">
        <w:rPr>
          <w:bCs/>
        </w:rPr>
        <w:t>,</w:t>
      </w:r>
      <w:r w:rsidRPr="000A0093">
        <w:rPr>
          <w:bCs/>
        </w:rPr>
        <w:t xml:space="preserve"> </w:t>
      </w:r>
      <w:r w:rsidR="00CD3014" w:rsidRPr="000A0093">
        <w:rPr>
          <w:bCs/>
        </w:rPr>
        <w:t>também encontraram re</w:t>
      </w:r>
      <w:r w:rsidRPr="000A0093">
        <w:rPr>
          <w:bCs/>
        </w:rPr>
        <w:t xml:space="preserve">sultados </w:t>
      </w:r>
      <w:r w:rsidR="00CD3014" w:rsidRPr="000A0093">
        <w:rPr>
          <w:bCs/>
        </w:rPr>
        <w:t>que</w:t>
      </w:r>
      <w:r w:rsidRPr="000A0093">
        <w:rPr>
          <w:bCs/>
        </w:rPr>
        <w:t xml:space="preserve"> </w:t>
      </w:r>
      <w:r w:rsidR="00F92AC5" w:rsidRPr="000A0093">
        <w:rPr>
          <w:bCs/>
        </w:rPr>
        <w:t>indica</w:t>
      </w:r>
      <w:r w:rsidRPr="000A0093">
        <w:rPr>
          <w:bCs/>
        </w:rPr>
        <w:t>ram uma maior relevância dos fatores internos. A região do país também se mostrou relevante.</w:t>
      </w:r>
    </w:p>
    <w:p w14:paraId="52218F42" w14:textId="77777777" w:rsidR="00367569" w:rsidRPr="000A0093" w:rsidRDefault="00367569" w:rsidP="00FC2664">
      <w:pPr>
        <w:spacing w:line="480" w:lineRule="auto"/>
        <w:ind w:firstLine="851"/>
        <w:rPr>
          <w:bCs/>
        </w:rPr>
      </w:pPr>
      <w:proofErr w:type="spellStart"/>
      <w:r w:rsidRPr="000A0093">
        <w:rPr>
          <w:bCs/>
        </w:rPr>
        <w:t>Hoti</w:t>
      </w:r>
      <w:proofErr w:type="spellEnd"/>
      <w:r w:rsidRPr="000A0093">
        <w:rPr>
          <w:bCs/>
        </w:rPr>
        <w:t xml:space="preserve"> (2004) realizou diversos testes econométricos a partir de diferentes modelos teóricos e empíricos com intuito de identificar quais seriam os fatores predominantes, </w:t>
      </w:r>
      <w:proofErr w:type="spellStart"/>
      <w:r w:rsidRPr="000A0093">
        <w:rPr>
          <w:bCs/>
          <w:i/>
        </w:rPr>
        <w:t>push</w:t>
      </w:r>
      <w:proofErr w:type="spellEnd"/>
      <w:r w:rsidRPr="000A0093">
        <w:rPr>
          <w:bCs/>
        </w:rPr>
        <w:t xml:space="preserve"> ou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na determinação dos fluxos de capitais privados. Tanto em relação aos investimentos externos diretos, como em relação aos investimentos de portfólio, encontrou-se maior evidência para os fatores externos. Todavia, o autor não descarta a importância dos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w:t>
      </w:r>
      <w:r w:rsidR="00F92AC5" w:rsidRPr="000A0093">
        <w:rPr>
          <w:bCs/>
        </w:rPr>
        <w:t xml:space="preserve">que </w:t>
      </w:r>
      <w:r w:rsidRPr="000A0093">
        <w:rPr>
          <w:bCs/>
        </w:rPr>
        <w:t>explicar</w:t>
      </w:r>
      <w:r w:rsidR="00F92AC5" w:rsidRPr="000A0093">
        <w:rPr>
          <w:bCs/>
        </w:rPr>
        <w:t>iam</w:t>
      </w:r>
      <w:r w:rsidRPr="000A0093">
        <w:rPr>
          <w:bCs/>
        </w:rPr>
        <w:t xml:space="preserve"> as diferenças nos influxos de capitais entre as regiões.</w:t>
      </w:r>
    </w:p>
    <w:p w14:paraId="6C81AD37" w14:textId="77777777" w:rsidR="00367569" w:rsidRPr="000A0093" w:rsidRDefault="00367569" w:rsidP="00FC2664">
      <w:pPr>
        <w:spacing w:line="480" w:lineRule="auto"/>
        <w:ind w:firstLine="851"/>
        <w:rPr>
          <w:bCs/>
        </w:rPr>
      </w:pPr>
      <w:proofErr w:type="spellStart"/>
      <w:r w:rsidRPr="000A0093">
        <w:rPr>
          <w:bCs/>
        </w:rPr>
        <w:t>Baeck</w:t>
      </w:r>
      <w:proofErr w:type="spellEnd"/>
      <w:r w:rsidRPr="000A0093">
        <w:rPr>
          <w:bCs/>
        </w:rPr>
        <w:t xml:space="preserve"> (2006) verifica os determinantes </w:t>
      </w:r>
      <w:r w:rsidR="007C7D14" w:rsidRPr="000A0093">
        <w:rPr>
          <w:bCs/>
        </w:rPr>
        <w:t>d</w:t>
      </w:r>
      <w:r w:rsidRPr="000A0093">
        <w:rPr>
          <w:bCs/>
        </w:rPr>
        <w:t xml:space="preserve">os investimentos de portfólio para </w:t>
      </w:r>
      <w:proofErr w:type="gramStart"/>
      <w:r w:rsidRPr="000A0093">
        <w:rPr>
          <w:bCs/>
        </w:rPr>
        <w:t>5</w:t>
      </w:r>
      <w:proofErr w:type="gramEnd"/>
      <w:r w:rsidRPr="000A0093">
        <w:rPr>
          <w:bCs/>
        </w:rPr>
        <w:t xml:space="preserve"> países latino-americanos e 4 asiáticos separadamente por região entre 1989 e 2002. Os resultados obtidos apontam para uma predominância do indicador de </w:t>
      </w:r>
      <w:r w:rsidR="00136AF6">
        <w:rPr>
          <w:bCs/>
        </w:rPr>
        <w:t>aversão</w:t>
      </w:r>
      <w:r w:rsidRPr="000A0093">
        <w:rPr>
          <w:bCs/>
        </w:rPr>
        <w:t xml:space="preserve"> </w:t>
      </w:r>
      <w:r w:rsidR="00136AF6">
        <w:rPr>
          <w:bCs/>
        </w:rPr>
        <w:t>ao</w:t>
      </w:r>
      <w:r w:rsidRPr="000A0093">
        <w:rPr>
          <w:bCs/>
        </w:rPr>
        <w:t xml:space="preserve"> risco para a Ásia, além dos demais </w:t>
      </w:r>
      <w:proofErr w:type="spellStart"/>
      <w:r w:rsidRPr="000A0093">
        <w:rPr>
          <w:bCs/>
          <w:i/>
        </w:rPr>
        <w:t>push</w:t>
      </w:r>
      <w:proofErr w:type="spellEnd"/>
      <w:r w:rsidRPr="000A0093">
        <w:rPr>
          <w:bCs/>
          <w:i/>
        </w:rPr>
        <w:t xml:space="preserve"> </w:t>
      </w:r>
      <w:proofErr w:type="spellStart"/>
      <w:r w:rsidRPr="000A0093">
        <w:rPr>
          <w:bCs/>
          <w:i/>
        </w:rPr>
        <w:t>factors</w:t>
      </w:r>
      <w:proofErr w:type="spellEnd"/>
      <w:r w:rsidRPr="000A0093">
        <w:rPr>
          <w:bCs/>
        </w:rPr>
        <w:t xml:space="preserve">, sendo que os </w:t>
      </w:r>
      <w:proofErr w:type="spellStart"/>
      <w:r w:rsidRPr="000A0093">
        <w:rPr>
          <w:bCs/>
          <w:i/>
        </w:rPr>
        <w:t>pull</w:t>
      </w:r>
      <w:proofErr w:type="spellEnd"/>
      <w:r w:rsidRPr="000A0093">
        <w:rPr>
          <w:bCs/>
          <w:i/>
        </w:rPr>
        <w:t xml:space="preserve"> </w:t>
      </w:r>
      <w:proofErr w:type="spellStart"/>
      <w:r w:rsidRPr="000A0093">
        <w:rPr>
          <w:bCs/>
          <w:i/>
        </w:rPr>
        <w:t>factor</w:t>
      </w:r>
      <w:proofErr w:type="spellEnd"/>
      <w:r w:rsidRPr="000A0093">
        <w:rPr>
          <w:bCs/>
        </w:rPr>
        <w:t xml:space="preserve"> não se mostraram significativos. Para os países latino-americanos</w:t>
      </w:r>
      <w:r w:rsidR="0052748B" w:rsidRPr="000A0093">
        <w:rPr>
          <w:bCs/>
        </w:rPr>
        <w:t>, tanto</w:t>
      </w:r>
      <w:r w:rsidRPr="000A0093">
        <w:rPr>
          <w:bCs/>
        </w:rPr>
        <w:t xml:space="preserve"> os </w:t>
      </w:r>
      <w:proofErr w:type="spellStart"/>
      <w:r w:rsidRPr="000A0093">
        <w:rPr>
          <w:bCs/>
          <w:i/>
        </w:rPr>
        <w:t>push</w:t>
      </w:r>
      <w:proofErr w:type="spellEnd"/>
      <w:r w:rsidR="0052748B" w:rsidRPr="000A0093">
        <w:rPr>
          <w:bCs/>
          <w:i/>
        </w:rPr>
        <w:t xml:space="preserve">, </w:t>
      </w:r>
      <w:r w:rsidR="0052748B" w:rsidRPr="000A0093">
        <w:rPr>
          <w:bCs/>
        </w:rPr>
        <w:t>quanto</w:t>
      </w:r>
      <w:r w:rsidRPr="000A0093">
        <w:rPr>
          <w:bCs/>
        </w:rPr>
        <w:t xml:space="preserve"> </w:t>
      </w:r>
      <w:r w:rsidR="0052748B" w:rsidRPr="000A0093">
        <w:rPr>
          <w:bCs/>
        </w:rPr>
        <w:t>os</w:t>
      </w:r>
      <w:r w:rsidRPr="000A0093">
        <w:rPr>
          <w:bCs/>
        </w:rPr>
        <w:t xml:space="preserve"> </w:t>
      </w:r>
      <w:proofErr w:type="spellStart"/>
      <w:r w:rsidRPr="000A0093">
        <w:rPr>
          <w:bCs/>
          <w:i/>
        </w:rPr>
        <w:t>pull</w:t>
      </w:r>
      <w:proofErr w:type="spellEnd"/>
      <w:r w:rsidRPr="000A0093">
        <w:rPr>
          <w:bCs/>
          <w:i/>
        </w:rPr>
        <w:t xml:space="preserve"> </w:t>
      </w:r>
      <w:proofErr w:type="spellStart"/>
      <w:r w:rsidRPr="000A0093">
        <w:rPr>
          <w:bCs/>
          <w:i/>
        </w:rPr>
        <w:t>factor</w:t>
      </w:r>
      <w:r w:rsidR="007C7D14" w:rsidRPr="000A0093">
        <w:rPr>
          <w:bCs/>
          <w:i/>
        </w:rPr>
        <w:t>s</w:t>
      </w:r>
      <w:proofErr w:type="spellEnd"/>
      <w:r w:rsidRPr="000A0093">
        <w:rPr>
          <w:bCs/>
        </w:rPr>
        <w:t xml:space="preserve"> </w:t>
      </w:r>
      <w:r w:rsidR="0052748B" w:rsidRPr="000A0093">
        <w:rPr>
          <w:bCs/>
        </w:rPr>
        <w:t>foram significativos</w:t>
      </w:r>
      <w:r w:rsidRPr="000A0093">
        <w:rPr>
          <w:bCs/>
        </w:rPr>
        <w:t xml:space="preserve">, sendo que a variável de </w:t>
      </w:r>
      <w:r w:rsidR="00136AF6">
        <w:rPr>
          <w:bCs/>
        </w:rPr>
        <w:t>aversão ao</w:t>
      </w:r>
      <w:r w:rsidRPr="000A0093">
        <w:rPr>
          <w:bCs/>
        </w:rPr>
        <w:t xml:space="preserve"> risco não se mostrou </w:t>
      </w:r>
      <w:r w:rsidR="0052748B" w:rsidRPr="000A0093">
        <w:rPr>
          <w:bCs/>
        </w:rPr>
        <w:t>determinante</w:t>
      </w:r>
      <w:r w:rsidRPr="000A0093">
        <w:rPr>
          <w:bCs/>
        </w:rPr>
        <w:t>.</w:t>
      </w:r>
    </w:p>
    <w:p w14:paraId="45DF19CE" w14:textId="3CA5FDE2" w:rsidR="00367569" w:rsidRPr="000A0093" w:rsidRDefault="00367569" w:rsidP="00FC2664">
      <w:pPr>
        <w:spacing w:line="480" w:lineRule="auto"/>
        <w:ind w:firstLine="851"/>
        <w:rPr>
          <w:bCs/>
        </w:rPr>
      </w:pPr>
      <w:r w:rsidRPr="000A0093">
        <w:rPr>
          <w:bCs/>
        </w:rPr>
        <w:t xml:space="preserve">Edison e </w:t>
      </w:r>
      <w:proofErr w:type="spellStart"/>
      <w:r w:rsidRPr="000A0093">
        <w:rPr>
          <w:bCs/>
        </w:rPr>
        <w:t>Warnock</w:t>
      </w:r>
      <w:proofErr w:type="spellEnd"/>
      <w:r w:rsidRPr="000A0093">
        <w:rPr>
          <w:bCs/>
        </w:rPr>
        <w:t xml:space="preserve"> (2008) confirmaram evidências anteriores sobre a relevância dos </w:t>
      </w:r>
      <w:proofErr w:type="spellStart"/>
      <w:r w:rsidRPr="000A0093">
        <w:rPr>
          <w:bCs/>
          <w:i/>
        </w:rPr>
        <w:t>push</w:t>
      </w:r>
      <w:proofErr w:type="spellEnd"/>
      <w:r w:rsidRPr="000A0093">
        <w:rPr>
          <w:bCs/>
          <w:i/>
        </w:rPr>
        <w:t xml:space="preserve"> </w:t>
      </w:r>
      <w:proofErr w:type="spellStart"/>
      <w:r w:rsidRPr="000A0093">
        <w:rPr>
          <w:bCs/>
          <w:i/>
        </w:rPr>
        <w:t>factors</w:t>
      </w:r>
      <w:proofErr w:type="spellEnd"/>
      <w:r w:rsidRPr="000A0093">
        <w:rPr>
          <w:bCs/>
        </w:rPr>
        <w:t xml:space="preserve"> sobre os influxos de capitais. No estudo em questão</w:t>
      </w:r>
      <w:r w:rsidR="007C7D14" w:rsidRPr="000A0093">
        <w:rPr>
          <w:bCs/>
        </w:rPr>
        <w:t>,</w:t>
      </w:r>
      <w:r w:rsidRPr="000A0093">
        <w:rPr>
          <w:bCs/>
        </w:rPr>
        <w:t xml:space="preserve"> as alterações na taxa de juros dos Estados Unidos e </w:t>
      </w:r>
      <w:r w:rsidR="007C7D14" w:rsidRPr="000A0093">
        <w:rPr>
          <w:bCs/>
        </w:rPr>
        <w:t>n</w:t>
      </w:r>
      <w:r w:rsidRPr="000A0093">
        <w:rPr>
          <w:bCs/>
        </w:rPr>
        <w:t xml:space="preserve">o seu desempenho econômico afetaram negativamente os influxos de capitais para os países </w:t>
      </w:r>
      <w:r w:rsidR="00E1579C">
        <w:rPr>
          <w:bCs/>
        </w:rPr>
        <w:t>em desenvolvimento</w:t>
      </w:r>
      <w:r w:rsidRPr="000A0093">
        <w:rPr>
          <w:bCs/>
        </w:rPr>
        <w:t xml:space="preserve"> da América Latina e Ásia. Já os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mostraram</w:t>
      </w:r>
      <w:r w:rsidR="007C7D14" w:rsidRPr="000A0093">
        <w:rPr>
          <w:bCs/>
        </w:rPr>
        <w:t>-se</w:t>
      </w:r>
      <w:r w:rsidRPr="000A0093">
        <w:rPr>
          <w:bCs/>
        </w:rPr>
        <w:t xml:space="preserve"> menos relevantes, com parcial influência dos retornos dos ativos internos na América Latina e insignificância das medições de risco. Avaliando também os impactos da redução dos controles de capitais, os autores encontraram relações apenas de longo prazo e </w:t>
      </w:r>
      <w:r w:rsidR="00CD3014" w:rsidRPr="000A0093">
        <w:rPr>
          <w:bCs/>
        </w:rPr>
        <w:t>somente</w:t>
      </w:r>
      <w:r w:rsidRPr="000A0093">
        <w:rPr>
          <w:bCs/>
        </w:rPr>
        <w:t xml:space="preserve"> nos países asiáticos.</w:t>
      </w:r>
    </w:p>
    <w:p w14:paraId="1AEDD35F" w14:textId="6D7446BC" w:rsidR="00367569" w:rsidRPr="000A0093" w:rsidRDefault="0040200A" w:rsidP="00FC2664">
      <w:pPr>
        <w:spacing w:line="480" w:lineRule="auto"/>
        <w:ind w:firstLine="851"/>
        <w:rPr>
          <w:bCs/>
        </w:rPr>
      </w:pPr>
      <w:r w:rsidRPr="000A0093">
        <w:rPr>
          <w:bCs/>
        </w:rPr>
        <w:lastRenderedPageBreak/>
        <w:t xml:space="preserve">Dois estudos retomam a literatura sobre os </w:t>
      </w:r>
      <w:proofErr w:type="spellStart"/>
      <w:r w:rsidRPr="000A0093">
        <w:rPr>
          <w:bCs/>
          <w:i/>
        </w:rPr>
        <w:t>push</w:t>
      </w:r>
      <w:proofErr w:type="spellEnd"/>
      <w:r w:rsidRPr="000A0093">
        <w:rPr>
          <w:bCs/>
        </w:rPr>
        <w:t xml:space="preserve"> e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xml:space="preserve"> sobre regiões específicas. </w:t>
      </w:r>
      <w:proofErr w:type="spellStart"/>
      <w:r w:rsidR="00367569" w:rsidRPr="000A0093">
        <w:rPr>
          <w:bCs/>
        </w:rPr>
        <w:t>Brana</w:t>
      </w:r>
      <w:proofErr w:type="spellEnd"/>
      <w:r w:rsidR="00367569" w:rsidRPr="000A0093">
        <w:rPr>
          <w:bCs/>
        </w:rPr>
        <w:t xml:space="preserve"> e </w:t>
      </w:r>
      <w:proofErr w:type="spellStart"/>
      <w:r w:rsidR="00367569" w:rsidRPr="000A0093">
        <w:rPr>
          <w:bCs/>
        </w:rPr>
        <w:t>Lahet</w:t>
      </w:r>
      <w:proofErr w:type="spellEnd"/>
      <w:r w:rsidR="00367569" w:rsidRPr="000A0093">
        <w:rPr>
          <w:bCs/>
        </w:rPr>
        <w:t xml:space="preserve"> (2010) a partir de testes sobre </w:t>
      </w:r>
      <w:proofErr w:type="gramStart"/>
      <w:r w:rsidR="00367569" w:rsidRPr="000A0093">
        <w:rPr>
          <w:bCs/>
        </w:rPr>
        <w:t>4</w:t>
      </w:r>
      <w:proofErr w:type="gramEnd"/>
      <w:r w:rsidR="00367569" w:rsidRPr="000A0093">
        <w:rPr>
          <w:bCs/>
        </w:rPr>
        <w:t xml:space="preserve"> países asiáticos durante o período de 1990 e 2007</w:t>
      </w:r>
      <w:r w:rsidRPr="000A0093">
        <w:rPr>
          <w:bCs/>
        </w:rPr>
        <w:t xml:space="preserve">, </w:t>
      </w:r>
      <w:r w:rsidR="00367569" w:rsidRPr="000A0093">
        <w:rPr>
          <w:bCs/>
        </w:rPr>
        <w:t xml:space="preserve"> encontraram preponderância dos primeiros fatores na determinação dos influxos de capita</w:t>
      </w:r>
      <w:r w:rsidR="007C7D14" w:rsidRPr="000A0093">
        <w:rPr>
          <w:bCs/>
        </w:rPr>
        <w:t xml:space="preserve">is, com destaque para </w:t>
      </w:r>
      <w:r w:rsidR="00367569" w:rsidRPr="000A0093">
        <w:rPr>
          <w:bCs/>
        </w:rPr>
        <w:t xml:space="preserve">as estratégias </w:t>
      </w:r>
      <w:r w:rsidR="007C7D14" w:rsidRPr="000A0093">
        <w:rPr>
          <w:bCs/>
        </w:rPr>
        <w:t xml:space="preserve">de </w:t>
      </w:r>
      <w:proofErr w:type="spellStart"/>
      <w:r w:rsidR="007C7D14" w:rsidRPr="000A0093">
        <w:rPr>
          <w:bCs/>
          <w:i/>
        </w:rPr>
        <w:t>carry</w:t>
      </w:r>
      <w:proofErr w:type="spellEnd"/>
      <w:r w:rsidR="007C7D14" w:rsidRPr="000A0093">
        <w:rPr>
          <w:bCs/>
          <w:i/>
        </w:rPr>
        <w:t>-trade</w:t>
      </w:r>
      <w:r w:rsidR="007C7D14" w:rsidRPr="000A0093">
        <w:rPr>
          <w:bCs/>
        </w:rPr>
        <w:t xml:space="preserve"> </w:t>
      </w:r>
      <w:r w:rsidR="00367569" w:rsidRPr="000A0093">
        <w:rPr>
          <w:bCs/>
        </w:rPr>
        <w:t xml:space="preserve">dos agentes </w:t>
      </w:r>
      <w:r w:rsidR="007F5D34">
        <w:rPr>
          <w:bCs/>
        </w:rPr>
        <w:t>privados globais</w:t>
      </w:r>
      <w:r w:rsidR="00367569" w:rsidRPr="000A0093">
        <w:rPr>
          <w:bCs/>
        </w:rPr>
        <w:t xml:space="preserve">, </w:t>
      </w:r>
      <w:r w:rsidR="007C7D14" w:rsidRPr="000A0093">
        <w:rPr>
          <w:bCs/>
        </w:rPr>
        <w:t xml:space="preserve">a </w:t>
      </w:r>
      <w:r w:rsidR="00367569" w:rsidRPr="000A0093">
        <w:rPr>
          <w:bCs/>
        </w:rPr>
        <w:t>liquidez global e fatores de contágio</w:t>
      </w:r>
      <w:r w:rsidR="007C7D14" w:rsidRPr="000A0093">
        <w:rPr>
          <w:bCs/>
        </w:rPr>
        <w:t xml:space="preserve">; </w:t>
      </w:r>
      <w:r w:rsidR="00367569" w:rsidRPr="000A0093">
        <w:rPr>
          <w:bCs/>
        </w:rPr>
        <w:t xml:space="preserve">os fatores internos </w:t>
      </w:r>
      <w:r w:rsidR="007C7D14" w:rsidRPr="000A0093">
        <w:rPr>
          <w:bCs/>
        </w:rPr>
        <w:t>mostraram-se pouco relevantes</w:t>
      </w:r>
      <w:r w:rsidR="00367569" w:rsidRPr="000A0093">
        <w:rPr>
          <w:bCs/>
        </w:rPr>
        <w:t xml:space="preserve">. </w:t>
      </w:r>
      <w:r w:rsidRPr="000A0093">
        <w:rPr>
          <w:bCs/>
        </w:rPr>
        <w:t>Já</w:t>
      </w:r>
      <w:r w:rsidR="00367569" w:rsidRPr="000A0093">
        <w:rPr>
          <w:bCs/>
        </w:rPr>
        <w:t xml:space="preserve"> </w:t>
      </w:r>
      <w:proofErr w:type="spellStart"/>
      <w:r w:rsidRPr="000A0093">
        <w:rPr>
          <w:bCs/>
        </w:rPr>
        <w:t>A</w:t>
      </w:r>
      <w:r w:rsidR="00367569" w:rsidRPr="000A0093">
        <w:rPr>
          <w:bCs/>
        </w:rPr>
        <w:t>toyan</w:t>
      </w:r>
      <w:proofErr w:type="spellEnd"/>
      <w:r w:rsidR="00367569" w:rsidRPr="000A0093">
        <w:rPr>
          <w:bCs/>
        </w:rPr>
        <w:t>, Jaeger e Smith (2012) realiza</w:t>
      </w:r>
      <w:r w:rsidR="007C7D14" w:rsidRPr="000A0093">
        <w:rPr>
          <w:bCs/>
        </w:rPr>
        <w:t>ra</w:t>
      </w:r>
      <w:r w:rsidR="00367569" w:rsidRPr="000A0093">
        <w:rPr>
          <w:bCs/>
        </w:rPr>
        <w:t xml:space="preserve">m testes empíricos para verificar se as políticas fiscais </w:t>
      </w:r>
      <w:r w:rsidR="007C7D14" w:rsidRPr="000A0093">
        <w:rPr>
          <w:bCs/>
        </w:rPr>
        <w:t>adotadas</w:t>
      </w:r>
      <w:r w:rsidR="00367569" w:rsidRPr="000A0093">
        <w:rPr>
          <w:bCs/>
        </w:rPr>
        <w:t xml:space="preserve"> pelos países </w:t>
      </w:r>
      <w:r w:rsidR="00E1579C">
        <w:rPr>
          <w:bCs/>
        </w:rPr>
        <w:t xml:space="preserve">em </w:t>
      </w:r>
      <w:r w:rsidR="00FF5401">
        <w:rPr>
          <w:bCs/>
        </w:rPr>
        <w:t>desenvolvimento</w:t>
      </w:r>
      <w:r w:rsidR="00FF5401" w:rsidRPr="000A0093">
        <w:rPr>
          <w:bCs/>
        </w:rPr>
        <w:t xml:space="preserve"> europeus</w:t>
      </w:r>
      <w:r w:rsidR="00367569" w:rsidRPr="000A0093">
        <w:rPr>
          <w:bCs/>
        </w:rPr>
        <w:t xml:space="preserve"> </w:t>
      </w:r>
      <w:r w:rsidR="007C7D14" w:rsidRPr="000A0093">
        <w:rPr>
          <w:bCs/>
        </w:rPr>
        <w:t>n</w:t>
      </w:r>
      <w:r w:rsidR="00367569" w:rsidRPr="000A0093">
        <w:rPr>
          <w:bCs/>
        </w:rPr>
        <w:t xml:space="preserve">o período 2000 a 2007 </w:t>
      </w:r>
      <w:r w:rsidR="007C7D14" w:rsidRPr="000A0093">
        <w:rPr>
          <w:bCs/>
        </w:rPr>
        <w:t xml:space="preserve">alteraram </w:t>
      </w:r>
      <w:r w:rsidR="00367569" w:rsidRPr="000A0093">
        <w:rPr>
          <w:bCs/>
        </w:rPr>
        <w:t xml:space="preserve">o comportamento dos fluxos privados </w:t>
      </w:r>
      <w:r w:rsidR="007C7D14" w:rsidRPr="000A0093">
        <w:rPr>
          <w:bCs/>
        </w:rPr>
        <w:t xml:space="preserve">direcionados </w:t>
      </w:r>
      <w:r w:rsidR="00367569" w:rsidRPr="000A0093">
        <w:rPr>
          <w:bCs/>
        </w:rPr>
        <w:t xml:space="preserve">a esses países. Os resultados apontaram para o predomínio dos </w:t>
      </w:r>
      <w:proofErr w:type="spellStart"/>
      <w:r w:rsidR="00367569" w:rsidRPr="000A0093">
        <w:rPr>
          <w:bCs/>
          <w:i/>
        </w:rPr>
        <w:t>push</w:t>
      </w:r>
      <w:proofErr w:type="spellEnd"/>
      <w:r w:rsidR="00367569" w:rsidRPr="000A0093">
        <w:rPr>
          <w:bCs/>
          <w:i/>
        </w:rPr>
        <w:t xml:space="preserve"> </w:t>
      </w:r>
      <w:proofErr w:type="spellStart"/>
      <w:r w:rsidR="00367569" w:rsidRPr="000A0093">
        <w:rPr>
          <w:bCs/>
          <w:i/>
        </w:rPr>
        <w:t>factors</w:t>
      </w:r>
      <w:proofErr w:type="spellEnd"/>
      <w:r w:rsidR="007C7D14" w:rsidRPr="000A0093">
        <w:rPr>
          <w:bCs/>
        </w:rPr>
        <w:t>, sobretudo</w:t>
      </w:r>
      <w:r w:rsidR="0052748B" w:rsidRPr="000A0093">
        <w:rPr>
          <w:bCs/>
        </w:rPr>
        <w:t xml:space="preserve"> </w:t>
      </w:r>
      <w:r w:rsidR="00367569" w:rsidRPr="000A0093">
        <w:rPr>
          <w:bCs/>
        </w:rPr>
        <w:t xml:space="preserve">os baixos retornos nos países de origem dos fluxos. Concomitantemente, os resultados </w:t>
      </w:r>
      <w:r w:rsidR="007C7D14" w:rsidRPr="000A0093">
        <w:rPr>
          <w:bCs/>
        </w:rPr>
        <w:t>indica</w:t>
      </w:r>
      <w:r w:rsidR="00367569" w:rsidRPr="000A0093">
        <w:rPr>
          <w:bCs/>
        </w:rPr>
        <w:t>ram a ineficácia da política monetária em conter o excesso de influxo de capitais nos países em questão.</w:t>
      </w:r>
    </w:p>
    <w:p w14:paraId="30D2ADB1" w14:textId="3D058808" w:rsidR="00367569" w:rsidRPr="000A0093" w:rsidRDefault="00367569" w:rsidP="00FC2664">
      <w:pPr>
        <w:spacing w:line="480" w:lineRule="auto"/>
        <w:ind w:firstLine="851"/>
        <w:rPr>
          <w:bCs/>
        </w:rPr>
      </w:pPr>
      <w:r w:rsidRPr="000A0093">
        <w:rPr>
          <w:bCs/>
        </w:rPr>
        <w:t xml:space="preserve">A partir de um painel com 46 países entre os anos de 1990 e 2007, Bruno e </w:t>
      </w:r>
      <w:proofErr w:type="spellStart"/>
      <w:r w:rsidRPr="000A0093">
        <w:rPr>
          <w:bCs/>
        </w:rPr>
        <w:t>Shin</w:t>
      </w:r>
      <w:proofErr w:type="spellEnd"/>
      <w:r w:rsidRPr="000A0093">
        <w:rPr>
          <w:bCs/>
        </w:rPr>
        <w:t xml:space="preserve"> (2013) buscam estimar os determinantes </w:t>
      </w:r>
      <w:r w:rsidR="007C7D14" w:rsidRPr="000A0093">
        <w:rPr>
          <w:bCs/>
        </w:rPr>
        <w:t>d</w:t>
      </w:r>
      <w:r w:rsidRPr="000A0093">
        <w:rPr>
          <w:bCs/>
        </w:rPr>
        <w:t xml:space="preserve">o fluxo internacional de capital bancário. Os resultados apontam que os fatores globais são mais relevantes que os fatores locais. Deste modo, em períodos em que os agentes </w:t>
      </w:r>
      <w:r w:rsidR="00AF30CD">
        <w:rPr>
          <w:bCs/>
        </w:rPr>
        <w:t>privados globais</w:t>
      </w:r>
      <w:r w:rsidR="00FF5401">
        <w:rPr>
          <w:bCs/>
        </w:rPr>
        <w:t xml:space="preserve"> </w:t>
      </w:r>
      <w:r w:rsidRPr="000A0093">
        <w:rPr>
          <w:bCs/>
        </w:rPr>
        <w:t>estão mais propensos a</w:t>
      </w:r>
      <w:r w:rsidR="007C7D14" w:rsidRPr="000A0093">
        <w:rPr>
          <w:bCs/>
        </w:rPr>
        <w:t>os</w:t>
      </w:r>
      <w:r w:rsidRPr="000A0093">
        <w:rPr>
          <w:bCs/>
        </w:rPr>
        <w:t xml:space="preserve"> riscos e operam com maior nível de </w:t>
      </w:r>
      <w:proofErr w:type="gramStart"/>
      <w:r w:rsidRPr="000A0093">
        <w:rPr>
          <w:bCs/>
        </w:rPr>
        <w:t>alavancagem</w:t>
      </w:r>
      <w:proofErr w:type="gramEnd"/>
      <w:r w:rsidRPr="000A0093">
        <w:rPr>
          <w:bCs/>
        </w:rPr>
        <w:t xml:space="preserve">, os empréstimos de bancos sediados nos países desenvolvidos tendem a migrar com maior força </w:t>
      </w:r>
      <w:r w:rsidR="007C7D14" w:rsidRPr="000A0093">
        <w:rPr>
          <w:bCs/>
        </w:rPr>
        <w:t>p</w:t>
      </w:r>
      <w:r w:rsidRPr="000A0093">
        <w:rPr>
          <w:bCs/>
        </w:rPr>
        <w:t>a</w:t>
      </w:r>
      <w:r w:rsidR="007C7D14" w:rsidRPr="000A0093">
        <w:rPr>
          <w:bCs/>
        </w:rPr>
        <w:t xml:space="preserve">ra </w:t>
      </w:r>
      <w:r w:rsidRPr="000A0093">
        <w:rPr>
          <w:bCs/>
        </w:rPr>
        <w:t xml:space="preserve">os países em desenvolvimento. Como variável escolhida para </w:t>
      </w:r>
      <w:proofErr w:type="gramStart"/>
      <w:r w:rsidRPr="000A0093">
        <w:rPr>
          <w:bCs/>
          <w:i/>
        </w:rPr>
        <w:t>proxy</w:t>
      </w:r>
      <w:proofErr w:type="gramEnd"/>
      <w:r w:rsidRPr="000A0093">
        <w:rPr>
          <w:bCs/>
        </w:rPr>
        <w:t xml:space="preserve"> da alavancagem global, utilizou-se o </w:t>
      </w:r>
      <w:r w:rsidRPr="000A0093">
        <w:rPr>
          <w:bCs/>
          <w:i/>
        </w:rPr>
        <w:t xml:space="preserve">Chicago </w:t>
      </w:r>
      <w:proofErr w:type="spellStart"/>
      <w:r w:rsidRPr="000A0093">
        <w:rPr>
          <w:bCs/>
          <w:i/>
        </w:rPr>
        <w:t>Board</w:t>
      </w:r>
      <w:proofErr w:type="spellEnd"/>
      <w:r w:rsidRPr="000A0093">
        <w:rPr>
          <w:bCs/>
          <w:i/>
        </w:rPr>
        <w:t xml:space="preserve"> </w:t>
      </w:r>
      <w:proofErr w:type="spellStart"/>
      <w:r w:rsidRPr="000A0093">
        <w:rPr>
          <w:bCs/>
          <w:i/>
        </w:rPr>
        <w:t>Options</w:t>
      </w:r>
      <w:proofErr w:type="spellEnd"/>
      <w:r w:rsidRPr="000A0093">
        <w:rPr>
          <w:bCs/>
          <w:i/>
        </w:rPr>
        <w:t xml:space="preserve"> Exchange Market </w:t>
      </w:r>
      <w:proofErr w:type="spellStart"/>
      <w:r w:rsidRPr="000A0093">
        <w:rPr>
          <w:bCs/>
          <w:i/>
        </w:rPr>
        <w:t>Volatility</w:t>
      </w:r>
      <w:proofErr w:type="spellEnd"/>
      <w:r w:rsidRPr="000A0093">
        <w:rPr>
          <w:bCs/>
          <w:i/>
        </w:rPr>
        <w:t xml:space="preserve"> Index</w:t>
      </w:r>
      <w:r w:rsidRPr="000A0093">
        <w:rPr>
          <w:bCs/>
        </w:rPr>
        <w:t xml:space="preserve"> (VIX), </w:t>
      </w:r>
      <w:r w:rsidR="00ED439D" w:rsidRPr="000A0093">
        <w:rPr>
          <w:bCs/>
        </w:rPr>
        <w:t>pois e</w:t>
      </w:r>
      <w:r w:rsidRPr="000A0093">
        <w:rPr>
          <w:bCs/>
        </w:rPr>
        <w:t>le é um indicador de volatilidade que se encontra inversamente correlacionado com o nível da alavancagem global.</w:t>
      </w:r>
    </w:p>
    <w:p w14:paraId="1D5E3266" w14:textId="77777777" w:rsidR="00367569" w:rsidRPr="000A0093" w:rsidRDefault="00367569" w:rsidP="00FC2664">
      <w:pPr>
        <w:spacing w:line="480" w:lineRule="auto"/>
        <w:ind w:firstLine="851"/>
        <w:rPr>
          <w:bCs/>
        </w:rPr>
      </w:pPr>
      <w:r w:rsidRPr="000A0093">
        <w:rPr>
          <w:bCs/>
        </w:rPr>
        <w:t xml:space="preserve">Ahmed e </w:t>
      </w:r>
      <w:proofErr w:type="spellStart"/>
      <w:r w:rsidRPr="000A0093">
        <w:rPr>
          <w:bCs/>
        </w:rPr>
        <w:t>Zlate</w:t>
      </w:r>
      <w:proofErr w:type="spellEnd"/>
      <w:r w:rsidRPr="000A0093">
        <w:rPr>
          <w:bCs/>
        </w:rPr>
        <w:t xml:space="preserve"> (2013), diferentemente da maior parte dos estudos apresentados nesta subseção, não </w:t>
      </w:r>
      <w:r w:rsidR="001F6790" w:rsidRPr="000A0093">
        <w:rPr>
          <w:bCs/>
        </w:rPr>
        <w:t xml:space="preserve">utilizaram </w:t>
      </w:r>
      <w:r w:rsidRPr="000A0093">
        <w:rPr>
          <w:bCs/>
        </w:rPr>
        <w:t xml:space="preserve">a metodologia </w:t>
      </w:r>
      <w:proofErr w:type="spellStart"/>
      <w:r w:rsidRPr="000A0093">
        <w:rPr>
          <w:bCs/>
          <w:i/>
        </w:rPr>
        <w:t>push</w:t>
      </w:r>
      <w:proofErr w:type="spellEnd"/>
      <w:r w:rsidRPr="000A0093">
        <w:rPr>
          <w:bCs/>
          <w:i/>
        </w:rPr>
        <w:t xml:space="preserve"> </w:t>
      </w:r>
      <w:proofErr w:type="spellStart"/>
      <w:proofErr w:type="gramStart"/>
      <w:r w:rsidRPr="000A0093">
        <w:rPr>
          <w:bCs/>
          <w:i/>
        </w:rPr>
        <w:t>vs</w:t>
      </w:r>
      <w:proofErr w:type="spellEnd"/>
      <w:proofErr w:type="gramEnd"/>
      <w:r w:rsidRPr="000A0093">
        <w:rPr>
          <w:bCs/>
          <w:i/>
        </w:rPr>
        <w:t xml:space="preserve">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i/>
        </w:rPr>
        <w:t>.</w:t>
      </w:r>
      <w:r w:rsidRPr="000A0093">
        <w:rPr>
          <w:bCs/>
        </w:rPr>
        <w:t xml:space="preserve"> </w:t>
      </w:r>
      <w:r w:rsidR="007C7D14" w:rsidRPr="000A0093">
        <w:rPr>
          <w:bCs/>
        </w:rPr>
        <w:t>A</w:t>
      </w:r>
      <w:r w:rsidRPr="000A0093">
        <w:rPr>
          <w:bCs/>
        </w:rPr>
        <w:t xml:space="preserve"> partir de um painel com 12 países latino-americanos e asiáticos entre 2002 e 2012</w:t>
      </w:r>
      <w:r w:rsidR="007C7D14" w:rsidRPr="000A0093">
        <w:rPr>
          <w:bCs/>
        </w:rPr>
        <w:t xml:space="preserve"> (</w:t>
      </w:r>
      <w:r w:rsidRPr="000A0093">
        <w:rPr>
          <w:bCs/>
        </w:rPr>
        <w:t xml:space="preserve">dividido </w:t>
      </w:r>
      <w:r w:rsidR="001F6790" w:rsidRPr="000A0093">
        <w:rPr>
          <w:bCs/>
        </w:rPr>
        <w:t xml:space="preserve">em dois </w:t>
      </w:r>
      <w:r w:rsidRPr="000A0093">
        <w:rPr>
          <w:bCs/>
        </w:rPr>
        <w:t xml:space="preserve">períodos </w:t>
      </w:r>
      <w:r w:rsidR="001F6790" w:rsidRPr="000A0093">
        <w:rPr>
          <w:bCs/>
        </w:rPr>
        <w:t xml:space="preserve">- </w:t>
      </w:r>
      <w:r w:rsidRPr="000A0093">
        <w:rPr>
          <w:bCs/>
        </w:rPr>
        <w:t>2002q1a 2008q2 e 2009q3</w:t>
      </w:r>
      <w:r w:rsidR="001F6790" w:rsidRPr="000A0093">
        <w:rPr>
          <w:bCs/>
        </w:rPr>
        <w:t xml:space="preserve"> a</w:t>
      </w:r>
      <w:r w:rsidR="007C7D14" w:rsidRPr="000A0093">
        <w:rPr>
          <w:bCs/>
        </w:rPr>
        <w:t>-</w:t>
      </w:r>
      <w:r w:rsidRPr="000A0093">
        <w:rPr>
          <w:bCs/>
        </w:rPr>
        <w:t>2012q2</w:t>
      </w:r>
      <w:r w:rsidR="001F6790" w:rsidRPr="000A0093">
        <w:rPr>
          <w:bCs/>
        </w:rPr>
        <w:t>),</w:t>
      </w:r>
      <w:r w:rsidRPr="000A0093">
        <w:rPr>
          <w:bCs/>
        </w:rPr>
        <w:t xml:space="preserve"> os principais resultados apontaram que: i) os diferenciais de crescimento entre os países desenvolvidos e em desenvolvimento foi significativo para o total dos fluxos de capitais privados (incluindo-se IDE) para os dois períodos tanto por </w:t>
      </w:r>
      <w:r w:rsidR="001F6790" w:rsidRPr="000A0093">
        <w:rPr>
          <w:bCs/>
        </w:rPr>
        <w:t>Mínimos Quadrados Ordinários (</w:t>
      </w:r>
      <w:r w:rsidRPr="000A0093">
        <w:rPr>
          <w:bCs/>
        </w:rPr>
        <w:t>MQO</w:t>
      </w:r>
      <w:r w:rsidR="001F6790" w:rsidRPr="000A0093">
        <w:rPr>
          <w:bCs/>
        </w:rPr>
        <w:t>)</w:t>
      </w:r>
      <w:r w:rsidRPr="000A0093">
        <w:rPr>
          <w:bCs/>
        </w:rPr>
        <w:t xml:space="preserve"> quanto por Efeitos Fixos (FE na sigla em inglês), mas foi insignificante para o investimento de </w:t>
      </w:r>
      <w:r w:rsidRPr="000A0093">
        <w:rPr>
          <w:bCs/>
        </w:rPr>
        <w:lastRenderedPageBreak/>
        <w:t xml:space="preserve">portfólio; </w:t>
      </w:r>
      <w:proofErr w:type="spellStart"/>
      <w:proofErr w:type="gramStart"/>
      <w:r w:rsidRPr="000A0093">
        <w:rPr>
          <w:bCs/>
        </w:rPr>
        <w:t>ii</w:t>
      </w:r>
      <w:proofErr w:type="spellEnd"/>
      <w:proofErr w:type="gramEnd"/>
      <w:r w:rsidRPr="000A0093">
        <w:rPr>
          <w:bCs/>
        </w:rPr>
        <w:t xml:space="preserve">) </w:t>
      </w:r>
      <w:r w:rsidR="001F6790" w:rsidRPr="000A0093">
        <w:rPr>
          <w:bCs/>
        </w:rPr>
        <w:t xml:space="preserve">o </w:t>
      </w:r>
      <w:r w:rsidRPr="000A0093">
        <w:rPr>
          <w:bCs/>
        </w:rPr>
        <w:t xml:space="preserve">diferencial de juros foi significativo apenas por MQO; e </w:t>
      </w:r>
      <w:proofErr w:type="spellStart"/>
      <w:r w:rsidRPr="000A0093">
        <w:rPr>
          <w:bCs/>
        </w:rPr>
        <w:t>iii</w:t>
      </w:r>
      <w:proofErr w:type="spellEnd"/>
      <w:r w:rsidRPr="000A0093">
        <w:rPr>
          <w:bCs/>
        </w:rPr>
        <w:t xml:space="preserve">) </w:t>
      </w:r>
      <w:r w:rsidR="001F6790" w:rsidRPr="000A0093">
        <w:rPr>
          <w:bCs/>
        </w:rPr>
        <w:t>VIX</w:t>
      </w:r>
      <w:r w:rsidRPr="000A0093">
        <w:rPr>
          <w:bCs/>
        </w:rPr>
        <w:t xml:space="preserve"> foi significativa </w:t>
      </w:r>
      <w:r w:rsidR="001F6790" w:rsidRPr="000A0093">
        <w:rPr>
          <w:bCs/>
        </w:rPr>
        <w:t>para</w:t>
      </w:r>
      <w:r w:rsidRPr="000A0093">
        <w:rPr>
          <w:bCs/>
        </w:rPr>
        <w:t xml:space="preserve"> investimento de portfólio  </w:t>
      </w:r>
      <w:r w:rsidR="001F6790" w:rsidRPr="000A0093">
        <w:rPr>
          <w:bCs/>
        </w:rPr>
        <w:t>n</w:t>
      </w:r>
      <w:r w:rsidRPr="000A0093">
        <w:rPr>
          <w:bCs/>
        </w:rPr>
        <w:t>o primeiro período nos dois métodos a</w:t>
      </w:r>
      <w:r w:rsidR="001F6790" w:rsidRPr="000A0093">
        <w:rPr>
          <w:bCs/>
        </w:rPr>
        <w:t>dot</w:t>
      </w:r>
      <w:r w:rsidRPr="000A0093">
        <w:rPr>
          <w:bCs/>
        </w:rPr>
        <w:t>ados.</w:t>
      </w:r>
    </w:p>
    <w:p w14:paraId="41C03764" w14:textId="06C3494C" w:rsidR="002D488E" w:rsidRPr="000A0093" w:rsidRDefault="00BC4334" w:rsidP="00FC2664">
      <w:pPr>
        <w:spacing w:line="480" w:lineRule="auto"/>
        <w:ind w:firstLine="851"/>
        <w:rPr>
          <w:bCs/>
        </w:rPr>
      </w:pPr>
      <w:r w:rsidRPr="000A0093">
        <w:rPr>
          <w:bCs/>
        </w:rPr>
        <w:t>Por fim, Rey (2013) encontra uma correlação negativa entre o comportamento do VIX - considerado pel</w:t>
      </w:r>
      <w:r w:rsidR="00AF2B34" w:rsidRPr="000A0093">
        <w:rPr>
          <w:bCs/>
        </w:rPr>
        <w:t>a</w:t>
      </w:r>
      <w:r w:rsidRPr="000A0093">
        <w:rPr>
          <w:bCs/>
        </w:rPr>
        <w:t xml:space="preserve"> autor</w:t>
      </w:r>
      <w:r w:rsidR="00AF2B34" w:rsidRPr="000A0093">
        <w:rPr>
          <w:bCs/>
        </w:rPr>
        <w:t>a</w:t>
      </w:r>
      <w:r w:rsidRPr="000A0093">
        <w:rPr>
          <w:bCs/>
        </w:rPr>
        <w:t xml:space="preserve"> como indicador da incerteza e aversão ao risco durante os ciclos financeiros globais - e o influxo de capitais para diversas regiões </w:t>
      </w:r>
      <w:r w:rsidR="00E1579C">
        <w:rPr>
          <w:bCs/>
        </w:rPr>
        <w:t>em desenvolvimento</w:t>
      </w:r>
      <w:r w:rsidRPr="000A0093">
        <w:rPr>
          <w:bCs/>
        </w:rPr>
        <w:t xml:space="preserve"> entre 1990 e 2014. Essa observação é válida tanto para sua influência isolada </w:t>
      </w:r>
      <w:r w:rsidR="00AF2B34" w:rsidRPr="000A0093">
        <w:rPr>
          <w:bCs/>
        </w:rPr>
        <w:t>como</w:t>
      </w:r>
      <w:r w:rsidRPr="000A0093">
        <w:rPr>
          <w:bCs/>
        </w:rPr>
        <w:t xml:space="preserve"> em conjunto com outras variáveis associadas aos </w:t>
      </w:r>
      <w:proofErr w:type="spellStart"/>
      <w:r w:rsidRPr="000A0093">
        <w:rPr>
          <w:bCs/>
          <w:i/>
        </w:rPr>
        <w:t>push</w:t>
      </w:r>
      <w:proofErr w:type="spellEnd"/>
      <w:r w:rsidRPr="000A0093">
        <w:rPr>
          <w:bCs/>
          <w:i/>
        </w:rPr>
        <w:t xml:space="preserve"> </w:t>
      </w:r>
      <w:proofErr w:type="spellStart"/>
      <w:r w:rsidRPr="000A0093">
        <w:rPr>
          <w:bCs/>
          <w:i/>
        </w:rPr>
        <w:t>factors</w:t>
      </w:r>
      <w:proofErr w:type="spellEnd"/>
      <w:r w:rsidRPr="000A0093">
        <w:rPr>
          <w:bCs/>
        </w:rPr>
        <w:t xml:space="preserve">, como as </w:t>
      </w:r>
      <w:proofErr w:type="spellStart"/>
      <w:r w:rsidRPr="000A0093">
        <w:rPr>
          <w:bCs/>
          <w:i/>
        </w:rPr>
        <w:t>proxys</w:t>
      </w:r>
      <w:proofErr w:type="spellEnd"/>
      <w:r w:rsidRPr="000A0093">
        <w:rPr>
          <w:bCs/>
        </w:rPr>
        <w:t xml:space="preserve"> para as taxas de juros de curto prazo mundial e crescimento do PIB mundial. Além de influenciar os fluxos de capitais, </w:t>
      </w:r>
      <w:r w:rsidR="00AF2B34" w:rsidRPr="000A0093">
        <w:rPr>
          <w:bCs/>
        </w:rPr>
        <w:t xml:space="preserve">os </w:t>
      </w:r>
      <w:r w:rsidRPr="000A0093">
        <w:rPr>
          <w:bCs/>
        </w:rPr>
        <w:t xml:space="preserve">estudos </w:t>
      </w:r>
      <w:proofErr w:type="spellStart"/>
      <w:r w:rsidRPr="000A0093">
        <w:rPr>
          <w:bCs/>
          <w:i/>
        </w:rPr>
        <w:t>cross-sections</w:t>
      </w:r>
      <w:proofErr w:type="spellEnd"/>
      <w:r w:rsidRPr="000A0093">
        <w:rPr>
          <w:bCs/>
        </w:rPr>
        <w:t xml:space="preserve"> </w:t>
      </w:r>
      <w:r w:rsidR="00AF2B34" w:rsidRPr="000A0093">
        <w:rPr>
          <w:bCs/>
        </w:rPr>
        <w:t xml:space="preserve">realizados </w:t>
      </w:r>
      <w:r w:rsidRPr="000A0093">
        <w:rPr>
          <w:bCs/>
        </w:rPr>
        <w:t xml:space="preserve">apontaram para significativa influência dos ciclos financeiros globais - representados pelo VIX - nos mercados acionários, no crescimento da </w:t>
      </w:r>
      <w:proofErr w:type="gramStart"/>
      <w:r w:rsidRPr="000A0093">
        <w:rPr>
          <w:bCs/>
        </w:rPr>
        <w:t>alavancagem</w:t>
      </w:r>
      <w:proofErr w:type="gramEnd"/>
      <w:r w:rsidRPr="000A0093">
        <w:rPr>
          <w:bCs/>
        </w:rPr>
        <w:t xml:space="preserve"> do setor bancário e nos preços do setor imobiliário dos países </w:t>
      </w:r>
      <w:r w:rsidR="00E1579C">
        <w:rPr>
          <w:bCs/>
        </w:rPr>
        <w:t>em desenvolvimento</w:t>
      </w:r>
      <w:r w:rsidR="00D776D0">
        <w:rPr>
          <w:bCs/>
        </w:rPr>
        <w:t>.</w:t>
      </w:r>
    </w:p>
    <w:p w14:paraId="0619C3FC" w14:textId="77777777" w:rsidR="00BC4334" w:rsidRPr="000A0093" w:rsidRDefault="007E010D" w:rsidP="00FC2664">
      <w:pPr>
        <w:spacing w:line="480" w:lineRule="auto"/>
        <w:ind w:firstLine="851"/>
        <w:rPr>
          <w:bCs/>
        </w:rPr>
      </w:pPr>
      <w:r w:rsidRPr="000A0093">
        <w:rPr>
          <w:bCs/>
        </w:rPr>
        <w:t xml:space="preserve">O quadro </w:t>
      </w:r>
      <w:proofErr w:type="gramStart"/>
      <w:r w:rsidRPr="000A0093">
        <w:rPr>
          <w:bCs/>
        </w:rPr>
        <w:t>1</w:t>
      </w:r>
      <w:proofErr w:type="gramEnd"/>
      <w:r w:rsidRPr="000A0093">
        <w:rPr>
          <w:bCs/>
        </w:rPr>
        <w:t xml:space="preserve"> traz uma síntese dos trabalhos apresentados nesta seção.</w:t>
      </w:r>
    </w:p>
    <w:p w14:paraId="2580470E" w14:textId="77777777" w:rsidR="00AF2B34" w:rsidRPr="000A0093" w:rsidRDefault="00BC4334" w:rsidP="00F82B07">
      <w:pPr>
        <w:spacing w:line="240" w:lineRule="auto"/>
        <w:rPr>
          <w:b/>
          <w:bCs/>
        </w:rPr>
      </w:pPr>
      <w:r w:rsidRPr="000A0093">
        <w:rPr>
          <w:b/>
          <w:bCs/>
        </w:rPr>
        <w:t xml:space="preserve">Quadro </w:t>
      </w:r>
      <w:proofErr w:type="gramStart"/>
      <w:r w:rsidRPr="000A0093">
        <w:rPr>
          <w:b/>
          <w:bCs/>
        </w:rPr>
        <w:t>1</w:t>
      </w:r>
      <w:proofErr w:type="gramEnd"/>
      <w:r w:rsidRPr="000A0093">
        <w:rPr>
          <w:b/>
          <w:bCs/>
        </w:rPr>
        <w:t>: Resumo dos estudos empíricos apresentados.</w:t>
      </w:r>
    </w:p>
    <w:tbl>
      <w:tblPr>
        <w:tblW w:w="96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418"/>
        <w:gridCol w:w="3827"/>
        <w:gridCol w:w="2587"/>
      </w:tblGrid>
      <w:tr w:rsidR="000A0093" w:rsidRPr="000A0093" w14:paraId="0F5E4A43" w14:textId="77777777" w:rsidTr="00A942B6">
        <w:trPr>
          <w:trHeight w:val="630"/>
        </w:trPr>
        <w:tc>
          <w:tcPr>
            <w:tcW w:w="1858" w:type="dxa"/>
            <w:shd w:val="clear" w:color="auto" w:fill="auto"/>
            <w:noWrap/>
            <w:vAlign w:val="center"/>
            <w:hideMark/>
          </w:tcPr>
          <w:p w14:paraId="4532B9E1" w14:textId="77777777" w:rsidR="00BC4334" w:rsidRPr="000A0093" w:rsidRDefault="00BC4334" w:rsidP="00F82B07">
            <w:pPr>
              <w:spacing w:line="240" w:lineRule="auto"/>
              <w:jc w:val="center"/>
              <w:rPr>
                <w:rFonts w:eastAsia="Times New Roman"/>
                <w:b/>
                <w:sz w:val="20"/>
                <w:szCs w:val="20"/>
                <w:lang w:eastAsia="pt-BR"/>
              </w:rPr>
            </w:pPr>
            <w:r w:rsidRPr="000A0093">
              <w:rPr>
                <w:rFonts w:eastAsia="Times New Roman"/>
                <w:b/>
                <w:sz w:val="20"/>
                <w:szCs w:val="20"/>
                <w:lang w:eastAsia="pt-BR"/>
              </w:rPr>
              <w:t>Artigo</w:t>
            </w:r>
          </w:p>
        </w:tc>
        <w:tc>
          <w:tcPr>
            <w:tcW w:w="1418" w:type="dxa"/>
            <w:shd w:val="clear" w:color="auto" w:fill="auto"/>
            <w:vAlign w:val="center"/>
            <w:hideMark/>
          </w:tcPr>
          <w:p w14:paraId="4611C5C1" w14:textId="77777777" w:rsidR="00BC4334" w:rsidRPr="000A0093" w:rsidRDefault="00BC4334" w:rsidP="00F82B07">
            <w:pPr>
              <w:spacing w:line="240" w:lineRule="auto"/>
              <w:ind w:left="-64"/>
              <w:jc w:val="center"/>
              <w:rPr>
                <w:rFonts w:eastAsia="Times New Roman"/>
                <w:b/>
                <w:sz w:val="20"/>
                <w:szCs w:val="20"/>
                <w:lang w:eastAsia="pt-BR"/>
              </w:rPr>
            </w:pPr>
            <w:r w:rsidRPr="000A0093">
              <w:rPr>
                <w:rFonts w:eastAsia="Times New Roman"/>
                <w:b/>
                <w:sz w:val="20"/>
                <w:szCs w:val="20"/>
                <w:lang w:eastAsia="pt-BR"/>
              </w:rPr>
              <w:t>Predominância dos fatores</w:t>
            </w:r>
          </w:p>
        </w:tc>
        <w:tc>
          <w:tcPr>
            <w:tcW w:w="3827" w:type="dxa"/>
            <w:shd w:val="clear" w:color="auto" w:fill="auto"/>
            <w:noWrap/>
            <w:vAlign w:val="center"/>
            <w:hideMark/>
          </w:tcPr>
          <w:p w14:paraId="32DC4EDC" w14:textId="77777777" w:rsidR="00BC4334" w:rsidRPr="000A0093" w:rsidRDefault="00CD3014" w:rsidP="00F82B07">
            <w:pPr>
              <w:spacing w:line="240" w:lineRule="auto"/>
              <w:ind w:firstLine="7"/>
              <w:jc w:val="center"/>
              <w:rPr>
                <w:rFonts w:eastAsia="Times New Roman"/>
                <w:b/>
                <w:sz w:val="20"/>
                <w:szCs w:val="20"/>
                <w:lang w:eastAsia="pt-BR"/>
              </w:rPr>
            </w:pPr>
            <w:r w:rsidRPr="000A0093">
              <w:rPr>
                <w:rFonts w:eastAsia="Times New Roman"/>
                <w:b/>
                <w:sz w:val="20"/>
                <w:szCs w:val="20"/>
                <w:lang w:eastAsia="pt-BR"/>
              </w:rPr>
              <w:t>Principais Variáveis Determinantes</w:t>
            </w:r>
          </w:p>
        </w:tc>
        <w:tc>
          <w:tcPr>
            <w:tcW w:w="2587" w:type="dxa"/>
            <w:shd w:val="clear" w:color="auto" w:fill="auto"/>
            <w:noWrap/>
            <w:vAlign w:val="center"/>
            <w:hideMark/>
          </w:tcPr>
          <w:p w14:paraId="48CA2E48" w14:textId="77777777" w:rsidR="00BC4334" w:rsidRPr="000A0093" w:rsidRDefault="00136AF6" w:rsidP="00F82B07">
            <w:pPr>
              <w:spacing w:line="240" w:lineRule="auto"/>
              <w:jc w:val="center"/>
              <w:rPr>
                <w:rFonts w:eastAsia="Times New Roman"/>
                <w:b/>
                <w:sz w:val="20"/>
                <w:szCs w:val="20"/>
                <w:lang w:eastAsia="pt-BR"/>
              </w:rPr>
            </w:pPr>
            <w:r>
              <w:rPr>
                <w:rFonts w:eastAsia="Times New Roman"/>
                <w:b/>
                <w:sz w:val="20"/>
                <w:szCs w:val="20"/>
                <w:lang w:eastAsia="pt-BR"/>
              </w:rPr>
              <w:t>Método</w:t>
            </w:r>
          </w:p>
        </w:tc>
      </w:tr>
      <w:tr w:rsidR="000A0093" w:rsidRPr="000A0093" w14:paraId="683BA7B9" w14:textId="77777777" w:rsidTr="00A942B6">
        <w:trPr>
          <w:trHeight w:val="300"/>
        </w:trPr>
        <w:tc>
          <w:tcPr>
            <w:tcW w:w="1858" w:type="dxa"/>
            <w:shd w:val="clear" w:color="auto" w:fill="auto"/>
            <w:noWrap/>
            <w:vAlign w:val="center"/>
            <w:hideMark/>
          </w:tcPr>
          <w:p w14:paraId="2F53B8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 xml:space="preserve">Calvo, </w:t>
            </w:r>
            <w:proofErr w:type="spellStart"/>
            <w:r w:rsidRPr="000A0093">
              <w:rPr>
                <w:rFonts w:eastAsia="Times New Roman"/>
                <w:sz w:val="20"/>
                <w:szCs w:val="20"/>
                <w:lang w:eastAsia="pt-BR"/>
              </w:rPr>
              <w:t>Leiderman</w:t>
            </w:r>
            <w:proofErr w:type="spellEnd"/>
            <w:r w:rsidRPr="000A0093">
              <w:rPr>
                <w:rFonts w:eastAsia="Times New Roman"/>
                <w:sz w:val="20"/>
                <w:szCs w:val="20"/>
                <w:lang w:eastAsia="pt-BR"/>
              </w:rPr>
              <w:t xml:space="preserve"> e </w:t>
            </w:r>
            <w:proofErr w:type="spellStart"/>
            <w:r w:rsidRPr="000A0093">
              <w:rPr>
                <w:rFonts w:eastAsia="Times New Roman"/>
                <w:sz w:val="20"/>
                <w:szCs w:val="20"/>
                <w:lang w:eastAsia="pt-BR"/>
              </w:rPr>
              <w:t>Reinhart</w:t>
            </w:r>
            <w:proofErr w:type="spellEnd"/>
            <w:r w:rsidRPr="000A0093">
              <w:rPr>
                <w:rFonts w:eastAsia="Times New Roman"/>
                <w:sz w:val="20"/>
                <w:szCs w:val="20"/>
                <w:lang w:eastAsia="pt-BR"/>
              </w:rPr>
              <w:t xml:space="preserve"> (1993</w:t>
            </w:r>
            <w:proofErr w:type="gramStart"/>
            <w:r w:rsidRPr="000A0093">
              <w:rPr>
                <w:rFonts w:eastAsia="Times New Roman"/>
                <w:sz w:val="20"/>
                <w:szCs w:val="20"/>
                <w:lang w:eastAsia="pt-BR"/>
              </w:rPr>
              <w:t>)</w:t>
            </w:r>
            <w:proofErr w:type="gramEnd"/>
          </w:p>
        </w:tc>
        <w:tc>
          <w:tcPr>
            <w:tcW w:w="1418" w:type="dxa"/>
            <w:shd w:val="clear" w:color="auto" w:fill="auto"/>
            <w:noWrap/>
            <w:vAlign w:val="center"/>
            <w:hideMark/>
          </w:tcPr>
          <w:p w14:paraId="39D89C0D"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45E76B0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dos EUA</w:t>
            </w:r>
          </w:p>
        </w:tc>
        <w:tc>
          <w:tcPr>
            <w:tcW w:w="2587" w:type="dxa"/>
            <w:shd w:val="clear" w:color="auto" w:fill="auto"/>
            <w:noWrap/>
            <w:vAlign w:val="center"/>
          </w:tcPr>
          <w:p w14:paraId="5A00B564" w14:textId="77777777" w:rsidR="00BC4334"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 xml:space="preserve">Vetor </w:t>
            </w:r>
            <w:proofErr w:type="spellStart"/>
            <w:r>
              <w:rPr>
                <w:rFonts w:eastAsia="Times New Roman"/>
                <w:sz w:val="20"/>
                <w:szCs w:val="20"/>
                <w:lang w:eastAsia="pt-BR"/>
              </w:rPr>
              <w:t>Autoregressivo</w:t>
            </w:r>
            <w:proofErr w:type="spellEnd"/>
            <w:r w:rsidR="00595052">
              <w:rPr>
                <w:rFonts w:eastAsia="Times New Roman"/>
                <w:sz w:val="20"/>
                <w:szCs w:val="20"/>
                <w:lang w:eastAsia="pt-BR"/>
              </w:rPr>
              <w:t xml:space="preserve"> - VAR</w:t>
            </w:r>
          </w:p>
        </w:tc>
      </w:tr>
      <w:tr w:rsidR="000A0093" w:rsidRPr="000A0093" w14:paraId="4A0F1E02" w14:textId="77777777" w:rsidTr="00A942B6">
        <w:trPr>
          <w:trHeight w:val="300"/>
        </w:trPr>
        <w:tc>
          <w:tcPr>
            <w:tcW w:w="1858" w:type="dxa"/>
            <w:shd w:val="clear" w:color="auto" w:fill="auto"/>
            <w:noWrap/>
            <w:vAlign w:val="center"/>
            <w:hideMark/>
          </w:tcPr>
          <w:p w14:paraId="539E61B6"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Fernandez-Arias (1996)</w:t>
            </w:r>
          </w:p>
        </w:tc>
        <w:tc>
          <w:tcPr>
            <w:tcW w:w="1418" w:type="dxa"/>
            <w:shd w:val="clear" w:color="auto" w:fill="auto"/>
            <w:noWrap/>
            <w:vAlign w:val="center"/>
            <w:hideMark/>
          </w:tcPr>
          <w:p w14:paraId="7E1766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62C3044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externas</w:t>
            </w:r>
          </w:p>
        </w:tc>
        <w:tc>
          <w:tcPr>
            <w:tcW w:w="2587" w:type="dxa"/>
            <w:shd w:val="clear" w:color="auto" w:fill="auto"/>
            <w:noWrap/>
            <w:vAlign w:val="center"/>
          </w:tcPr>
          <w:p w14:paraId="6E86F26C" w14:textId="77777777" w:rsidR="00BC4334" w:rsidRPr="000A0093" w:rsidRDefault="00830891" w:rsidP="00F82B07">
            <w:pPr>
              <w:spacing w:line="240" w:lineRule="auto"/>
              <w:jc w:val="center"/>
              <w:rPr>
                <w:rFonts w:eastAsia="Times New Roman"/>
                <w:sz w:val="20"/>
                <w:szCs w:val="20"/>
                <w:lang w:eastAsia="pt-BR"/>
              </w:rPr>
            </w:pPr>
            <w:r>
              <w:rPr>
                <w:rFonts w:eastAsia="Times New Roman"/>
                <w:sz w:val="20"/>
                <w:szCs w:val="20"/>
                <w:lang w:eastAsia="pt-BR"/>
              </w:rPr>
              <w:t>Painel: MQO e Efeitos Fixos</w:t>
            </w:r>
          </w:p>
        </w:tc>
      </w:tr>
      <w:tr w:rsidR="000A0093" w:rsidRPr="000A0093" w14:paraId="7E82B2FB" w14:textId="77777777" w:rsidTr="00A942B6">
        <w:trPr>
          <w:trHeight w:val="300"/>
        </w:trPr>
        <w:tc>
          <w:tcPr>
            <w:tcW w:w="1858" w:type="dxa"/>
            <w:shd w:val="clear" w:color="auto" w:fill="auto"/>
            <w:noWrap/>
            <w:vAlign w:val="center"/>
            <w:hideMark/>
          </w:tcPr>
          <w:p w14:paraId="40FF0779" w14:textId="77777777" w:rsidR="00BC4334" w:rsidRPr="000A0093" w:rsidRDefault="00BC4334"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Chuhan</w:t>
            </w:r>
            <w:proofErr w:type="spellEnd"/>
            <w:r w:rsidRPr="000A0093">
              <w:rPr>
                <w:rFonts w:eastAsia="Times New Roman"/>
                <w:sz w:val="20"/>
                <w:szCs w:val="20"/>
                <w:lang w:eastAsia="pt-BR"/>
              </w:rPr>
              <w:t xml:space="preserve">, </w:t>
            </w:r>
            <w:proofErr w:type="spellStart"/>
            <w:r w:rsidRPr="000A0093">
              <w:rPr>
                <w:rFonts w:eastAsia="Times New Roman"/>
                <w:sz w:val="20"/>
                <w:szCs w:val="20"/>
                <w:lang w:eastAsia="pt-BR"/>
              </w:rPr>
              <w:t>Claessens</w:t>
            </w:r>
            <w:proofErr w:type="spellEnd"/>
            <w:r w:rsidRPr="000A0093">
              <w:rPr>
                <w:rFonts w:eastAsia="Times New Roman"/>
                <w:sz w:val="20"/>
                <w:szCs w:val="20"/>
                <w:lang w:eastAsia="pt-BR"/>
              </w:rPr>
              <w:t xml:space="preserve"> e </w:t>
            </w:r>
            <w:proofErr w:type="spellStart"/>
            <w:r w:rsidRPr="000A0093">
              <w:rPr>
                <w:rFonts w:eastAsia="Times New Roman"/>
                <w:sz w:val="20"/>
                <w:szCs w:val="20"/>
                <w:lang w:eastAsia="pt-BR"/>
              </w:rPr>
              <w:t>Mamingi</w:t>
            </w:r>
            <w:proofErr w:type="spellEnd"/>
            <w:r w:rsidRPr="000A0093">
              <w:rPr>
                <w:rFonts w:eastAsia="Times New Roman"/>
                <w:sz w:val="20"/>
                <w:szCs w:val="20"/>
                <w:lang w:eastAsia="pt-BR"/>
              </w:rPr>
              <w:t xml:space="preserve"> (1993</w:t>
            </w:r>
            <w:proofErr w:type="gramStart"/>
            <w:r w:rsidRPr="000A0093">
              <w:rPr>
                <w:rFonts w:eastAsia="Times New Roman"/>
                <w:sz w:val="20"/>
                <w:szCs w:val="20"/>
                <w:lang w:eastAsia="pt-BR"/>
              </w:rPr>
              <w:t>)</w:t>
            </w:r>
            <w:proofErr w:type="gramEnd"/>
          </w:p>
        </w:tc>
        <w:tc>
          <w:tcPr>
            <w:tcW w:w="1418" w:type="dxa"/>
            <w:shd w:val="clear" w:color="auto" w:fill="auto"/>
            <w:noWrap/>
            <w:vAlign w:val="center"/>
            <w:hideMark/>
          </w:tcPr>
          <w:p w14:paraId="12CE7125"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14D75729"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Taxas de juros de curto longo prazo, taxa de câmbio e taxa de risco </w:t>
            </w:r>
            <w:proofErr w:type="gramStart"/>
            <w:r w:rsidRPr="000A0093">
              <w:rPr>
                <w:rFonts w:eastAsia="Times New Roman"/>
                <w:sz w:val="20"/>
                <w:szCs w:val="20"/>
                <w:lang w:eastAsia="pt-BR"/>
              </w:rPr>
              <w:t>país</w:t>
            </w:r>
            <w:proofErr w:type="gramEnd"/>
          </w:p>
        </w:tc>
        <w:tc>
          <w:tcPr>
            <w:tcW w:w="2587" w:type="dxa"/>
            <w:shd w:val="clear" w:color="auto" w:fill="auto"/>
            <w:noWrap/>
            <w:vAlign w:val="center"/>
          </w:tcPr>
          <w:p w14:paraId="243774A5" w14:textId="77777777" w:rsidR="00BC4334" w:rsidRPr="00872060" w:rsidRDefault="00872060"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872060">
              <w:rPr>
                <w:sz w:val="20"/>
                <w:szCs w:val="20"/>
              </w:rPr>
              <w:t>Mínimos Quadrados Generalizados</w:t>
            </w:r>
            <w:r w:rsidR="00F354D9">
              <w:rPr>
                <w:sz w:val="20"/>
                <w:szCs w:val="20"/>
              </w:rPr>
              <w:t xml:space="preserve"> (M</w:t>
            </w:r>
            <w:r w:rsidR="00125D7B">
              <w:rPr>
                <w:sz w:val="20"/>
                <w:szCs w:val="20"/>
              </w:rPr>
              <w:t>Q</w:t>
            </w:r>
            <w:r w:rsidR="00F354D9">
              <w:rPr>
                <w:sz w:val="20"/>
                <w:szCs w:val="20"/>
              </w:rPr>
              <w:t>G)</w:t>
            </w:r>
          </w:p>
        </w:tc>
      </w:tr>
      <w:tr w:rsidR="00C32611" w:rsidRPr="000A0093" w14:paraId="08954999" w14:textId="77777777" w:rsidTr="00A942B6">
        <w:trPr>
          <w:trHeight w:val="300"/>
        </w:trPr>
        <w:tc>
          <w:tcPr>
            <w:tcW w:w="1858" w:type="dxa"/>
            <w:shd w:val="clear" w:color="auto" w:fill="auto"/>
            <w:noWrap/>
            <w:vAlign w:val="center"/>
            <w:hideMark/>
          </w:tcPr>
          <w:p w14:paraId="77194D9A"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Taylor e Sarno (1997)</w:t>
            </w:r>
          </w:p>
        </w:tc>
        <w:tc>
          <w:tcPr>
            <w:tcW w:w="1418" w:type="dxa"/>
            <w:shd w:val="clear" w:color="auto" w:fill="auto"/>
            <w:noWrap/>
            <w:vAlign w:val="center"/>
            <w:hideMark/>
          </w:tcPr>
          <w:p w14:paraId="20C3080E"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7518C558"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Taxas de juros de curto e longo prazo, taxa de câmbio e taxa de risco </w:t>
            </w:r>
            <w:proofErr w:type="gramStart"/>
            <w:r w:rsidRPr="000A0093">
              <w:rPr>
                <w:rFonts w:eastAsia="Times New Roman"/>
                <w:sz w:val="20"/>
                <w:szCs w:val="20"/>
                <w:lang w:eastAsia="pt-BR"/>
              </w:rPr>
              <w:t>país</w:t>
            </w:r>
            <w:proofErr w:type="gramEnd"/>
          </w:p>
        </w:tc>
        <w:tc>
          <w:tcPr>
            <w:tcW w:w="2587" w:type="dxa"/>
            <w:shd w:val="clear" w:color="auto" w:fill="auto"/>
            <w:noWrap/>
            <w:vAlign w:val="center"/>
          </w:tcPr>
          <w:p w14:paraId="5257AD04" w14:textId="77777777" w:rsidR="00C32611"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 xml:space="preserve">Cointegração e </w:t>
            </w:r>
            <w:r w:rsidRPr="00C32611">
              <w:rPr>
                <w:rFonts w:eastAsia="Times New Roman"/>
                <w:sz w:val="20"/>
                <w:szCs w:val="20"/>
                <w:lang w:eastAsia="pt-BR"/>
              </w:rPr>
              <w:t>Modelo de Correção de Erros (ECM)</w:t>
            </w:r>
          </w:p>
        </w:tc>
      </w:tr>
      <w:tr w:rsidR="00C32611" w:rsidRPr="000A0093" w14:paraId="2B3341CF" w14:textId="77777777" w:rsidTr="00A942B6">
        <w:trPr>
          <w:trHeight w:val="300"/>
        </w:trPr>
        <w:tc>
          <w:tcPr>
            <w:tcW w:w="1858" w:type="dxa"/>
            <w:shd w:val="clear" w:color="auto" w:fill="auto"/>
            <w:noWrap/>
            <w:vAlign w:val="center"/>
            <w:hideMark/>
          </w:tcPr>
          <w:p w14:paraId="62352F92"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Kim (2000) e Yin e Kim (2001)</w:t>
            </w:r>
          </w:p>
        </w:tc>
        <w:tc>
          <w:tcPr>
            <w:tcW w:w="1418" w:type="dxa"/>
            <w:shd w:val="clear" w:color="auto" w:fill="auto"/>
            <w:noWrap/>
            <w:vAlign w:val="center"/>
            <w:hideMark/>
          </w:tcPr>
          <w:p w14:paraId="2D6EEEB3"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3C809C5"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 tesouro dos EUA e PIB dos EUA</w:t>
            </w:r>
          </w:p>
        </w:tc>
        <w:tc>
          <w:tcPr>
            <w:tcW w:w="2587" w:type="dxa"/>
            <w:shd w:val="clear" w:color="auto" w:fill="auto"/>
            <w:noWrap/>
            <w:vAlign w:val="center"/>
          </w:tcPr>
          <w:p w14:paraId="7C2B7BA4" w14:textId="77777777" w:rsidR="00C32611" w:rsidRPr="000A0093" w:rsidRDefault="00194FDB" w:rsidP="00F82B07">
            <w:pPr>
              <w:spacing w:line="240" w:lineRule="auto"/>
              <w:jc w:val="center"/>
              <w:rPr>
                <w:rFonts w:eastAsia="Times New Roman"/>
                <w:sz w:val="20"/>
                <w:szCs w:val="20"/>
                <w:lang w:eastAsia="pt-BR"/>
              </w:rPr>
            </w:pPr>
            <w:r>
              <w:rPr>
                <w:rFonts w:eastAsia="Times New Roman"/>
                <w:sz w:val="20"/>
                <w:szCs w:val="20"/>
                <w:lang w:eastAsia="pt-BR"/>
              </w:rPr>
              <w:t xml:space="preserve">VAR em </w:t>
            </w:r>
            <w:proofErr w:type="gramStart"/>
            <w:r>
              <w:rPr>
                <w:rFonts w:eastAsia="Times New Roman"/>
                <w:sz w:val="20"/>
                <w:szCs w:val="20"/>
                <w:lang w:eastAsia="pt-BR"/>
              </w:rPr>
              <w:t>ambos</w:t>
            </w:r>
            <w:proofErr w:type="gramEnd"/>
            <w:r>
              <w:rPr>
                <w:rFonts w:eastAsia="Times New Roman"/>
                <w:sz w:val="20"/>
                <w:szCs w:val="20"/>
                <w:lang w:eastAsia="pt-BR"/>
              </w:rPr>
              <w:t xml:space="preserve"> estudos</w:t>
            </w:r>
          </w:p>
        </w:tc>
      </w:tr>
      <w:tr w:rsidR="00021114" w:rsidRPr="000A0093" w14:paraId="0CDBF11E" w14:textId="77777777" w:rsidTr="00A942B6">
        <w:trPr>
          <w:trHeight w:val="300"/>
        </w:trPr>
        <w:tc>
          <w:tcPr>
            <w:tcW w:w="1858" w:type="dxa"/>
            <w:shd w:val="clear" w:color="auto" w:fill="auto"/>
            <w:noWrap/>
            <w:vAlign w:val="center"/>
            <w:hideMark/>
          </w:tcPr>
          <w:p w14:paraId="68706628" w14:textId="77777777" w:rsidR="00021114" w:rsidRPr="000A0093" w:rsidRDefault="00021114"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Dasgupta</w:t>
            </w:r>
            <w:proofErr w:type="spellEnd"/>
            <w:r w:rsidRPr="000A0093">
              <w:rPr>
                <w:rFonts w:eastAsia="Times New Roman"/>
                <w:sz w:val="20"/>
                <w:szCs w:val="20"/>
                <w:lang w:eastAsia="pt-BR"/>
              </w:rPr>
              <w:t xml:space="preserve"> e </w:t>
            </w:r>
            <w:proofErr w:type="spellStart"/>
            <w:r w:rsidRPr="000A0093">
              <w:rPr>
                <w:rFonts w:eastAsia="Times New Roman"/>
                <w:sz w:val="20"/>
                <w:szCs w:val="20"/>
                <w:lang w:eastAsia="pt-BR"/>
              </w:rPr>
              <w:t>Ratha</w:t>
            </w:r>
            <w:proofErr w:type="spellEnd"/>
            <w:r w:rsidRPr="000A0093">
              <w:rPr>
                <w:rFonts w:eastAsia="Times New Roman"/>
                <w:sz w:val="20"/>
                <w:szCs w:val="20"/>
                <w:lang w:eastAsia="pt-BR"/>
              </w:rPr>
              <w:t xml:space="preserve"> (2000)</w:t>
            </w:r>
          </w:p>
        </w:tc>
        <w:tc>
          <w:tcPr>
            <w:tcW w:w="1418" w:type="dxa"/>
            <w:shd w:val="clear" w:color="auto" w:fill="auto"/>
            <w:noWrap/>
            <w:vAlign w:val="center"/>
            <w:hideMark/>
          </w:tcPr>
          <w:p w14:paraId="3B0C0312"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56DE8AA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Déficit em transações correntes, investimento externo direto, renda per capita e desempenho econômico.</w:t>
            </w:r>
          </w:p>
        </w:tc>
        <w:tc>
          <w:tcPr>
            <w:tcW w:w="2587" w:type="dxa"/>
            <w:shd w:val="clear" w:color="auto" w:fill="auto"/>
            <w:noWrap/>
            <w:vAlign w:val="center"/>
          </w:tcPr>
          <w:p w14:paraId="3279FC97"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r w:rsidR="00125D7B">
              <w:rPr>
                <w:rFonts w:eastAsia="Times New Roman"/>
                <w:sz w:val="20"/>
                <w:szCs w:val="20"/>
                <w:lang w:eastAsia="pt-BR"/>
              </w:rPr>
              <w:t xml:space="preserve"> (EF)</w:t>
            </w:r>
          </w:p>
        </w:tc>
      </w:tr>
      <w:tr w:rsidR="00021114" w:rsidRPr="000A0093" w14:paraId="143004A2" w14:textId="77777777" w:rsidTr="00A942B6">
        <w:trPr>
          <w:trHeight w:val="300"/>
        </w:trPr>
        <w:tc>
          <w:tcPr>
            <w:tcW w:w="1858" w:type="dxa"/>
            <w:shd w:val="clear" w:color="auto" w:fill="auto"/>
            <w:noWrap/>
            <w:vAlign w:val="center"/>
            <w:hideMark/>
          </w:tcPr>
          <w:p w14:paraId="6CBDD194" w14:textId="77777777" w:rsidR="00021114" w:rsidRPr="000A0093" w:rsidRDefault="00021114"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Mody</w:t>
            </w:r>
            <w:proofErr w:type="spellEnd"/>
            <w:r w:rsidRPr="000A0093">
              <w:rPr>
                <w:rFonts w:eastAsia="Times New Roman"/>
                <w:sz w:val="20"/>
                <w:szCs w:val="20"/>
                <w:lang w:eastAsia="pt-BR"/>
              </w:rPr>
              <w:t>, Taylor e Kim (2001</w:t>
            </w:r>
            <w:proofErr w:type="gramStart"/>
            <w:r w:rsidRPr="000A0093">
              <w:rPr>
                <w:rFonts w:eastAsia="Times New Roman"/>
                <w:sz w:val="20"/>
                <w:szCs w:val="20"/>
                <w:lang w:eastAsia="pt-BR"/>
              </w:rPr>
              <w:t>)</w:t>
            </w:r>
            <w:proofErr w:type="gramEnd"/>
          </w:p>
        </w:tc>
        <w:tc>
          <w:tcPr>
            <w:tcW w:w="1418" w:type="dxa"/>
            <w:shd w:val="clear" w:color="auto" w:fill="auto"/>
            <w:noWrap/>
            <w:vAlign w:val="center"/>
            <w:hideMark/>
          </w:tcPr>
          <w:p w14:paraId="491E181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229032C2"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IPC, crédito, dívida de CP sobre reservas, PIB industrial, taxa de juros doméstica de CP, </w:t>
            </w:r>
            <w:r w:rsidRPr="000A0093">
              <w:rPr>
                <w:rFonts w:eastAsia="Times New Roman"/>
                <w:bCs/>
                <w:i/>
                <w:sz w:val="20"/>
                <w:szCs w:val="20"/>
                <w:lang w:eastAsia="pt-BR"/>
              </w:rPr>
              <w:t>rating</w:t>
            </w:r>
            <w:r w:rsidRPr="000A0093">
              <w:rPr>
                <w:rFonts w:eastAsia="Times New Roman"/>
                <w:bCs/>
                <w:sz w:val="20"/>
                <w:szCs w:val="20"/>
                <w:lang w:eastAsia="pt-BR"/>
              </w:rPr>
              <w:t xml:space="preserve"> de crédito, índice de </w:t>
            </w:r>
            <w:proofErr w:type="gramStart"/>
            <w:r w:rsidRPr="000A0093">
              <w:rPr>
                <w:rFonts w:eastAsia="Times New Roman"/>
                <w:bCs/>
                <w:sz w:val="20"/>
                <w:szCs w:val="20"/>
                <w:lang w:eastAsia="pt-BR"/>
              </w:rPr>
              <w:t>ações</w:t>
            </w:r>
            <w:proofErr w:type="gramEnd"/>
          </w:p>
        </w:tc>
        <w:tc>
          <w:tcPr>
            <w:tcW w:w="2587" w:type="dxa"/>
            <w:shd w:val="clear" w:color="auto" w:fill="auto"/>
            <w:noWrap/>
            <w:vAlign w:val="center"/>
          </w:tcPr>
          <w:p w14:paraId="10F7F99F"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V</w:t>
            </w:r>
            <w:r w:rsidRPr="005F5A8E">
              <w:rPr>
                <w:rFonts w:eastAsia="Times New Roman"/>
                <w:sz w:val="20"/>
                <w:szCs w:val="20"/>
                <w:lang w:eastAsia="pt-BR"/>
              </w:rPr>
              <w:t xml:space="preserve">etor de </w:t>
            </w:r>
            <w:r>
              <w:rPr>
                <w:rFonts w:eastAsia="Times New Roman"/>
                <w:sz w:val="20"/>
                <w:szCs w:val="20"/>
                <w:lang w:eastAsia="pt-BR"/>
              </w:rPr>
              <w:t>C</w:t>
            </w:r>
            <w:r w:rsidRPr="005F5A8E">
              <w:rPr>
                <w:rFonts w:eastAsia="Times New Roman"/>
                <w:sz w:val="20"/>
                <w:szCs w:val="20"/>
                <w:lang w:eastAsia="pt-BR"/>
              </w:rPr>
              <w:t xml:space="preserve">orreção de </w:t>
            </w:r>
            <w:r>
              <w:rPr>
                <w:rFonts w:eastAsia="Times New Roman"/>
                <w:sz w:val="20"/>
                <w:szCs w:val="20"/>
                <w:lang w:eastAsia="pt-BR"/>
              </w:rPr>
              <w:t>E</w:t>
            </w:r>
            <w:r w:rsidRPr="005F5A8E">
              <w:rPr>
                <w:rFonts w:eastAsia="Times New Roman"/>
                <w:sz w:val="20"/>
                <w:szCs w:val="20"/>
                <w:lang w:eastAsia="pt-BR"/>
              </w:rPr>
              <w:t>rros</w:t>
            </w:r>
            <w:r>
              <w:rPr>
                <w:rFonts w:eastAsia="Times New Roman"/>
                <w:sz w:val="20"/>
                <w:szCs w:val="20"/>
                <w:lang w:eastAsia="pt-BR"/>
              </w:rPr>
              <w:t xml:space="preserve"> (VEC)</w:t>
            </w:r>
          </w:p>
        </w:tc>
      </w:tr>
      <w:tr w:rsidR="00021114" w:rsidRPr="000A0093" w14:paraId="66388B12" w14:textId="77777777" w:rsidTr="00A942B6">
        <w:trPr>
          <w:trHeight w:val="300"/>
        </w:trPr>
        <w:tc>
          <w:tcPr>
            <w:tcW w:w="1858" w:type="dxa"/>
            <w:shd w:val="clear" w:color="auto" w:fill="auto"/>
            <w:noWrap/>
            <w:vAlign w:val="center"/>
            <w:hideMark/>
          </w:tcPr>
          <w:p w14:paraId="112E735A"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 xml:space="preserve">Hernandez, </w:t>
            </w:r>
            <w:proofErr w:type="spellStart"/>
            <w:r w:rsidRPr="000A0093">
              <w:rPr>
                <w:rFonts w:eastAsia="Times New Roman"/>
                <w:sz w:val="20"/>
                <w:szCs w:val="20"/>
                <w:lang w:eastAsia="pt-BR"/>
              </w:rPr>
              <w:t>Mellado</w:t>
            </w:r>
            <w:proofErr w:type="spellEnd"/>
            <w:r w:rsidRPr="000A0093">
              <w:rPr>
                <w:rFonts w:eastAsia="Times New Roman"/>
                <w:sz w:val="20"/>
                <w:szCs w:val="20"/>
                <w:lang w:eastAsia="pt-BR"/>
              </w:rPr>
              <w:t xml:space="preserve"> e </w:t>
            </w:r>
            <w:proofErr w:type="spellStart"/>
            <w:r w:rsidRPr="000A0093">
              <w:rPr>
                <w:rFonts w:eastAsia="Times New Roman"/>
                <w:sz w:val="20"/>
                <w:szCs w:val="20"/>
                <w:lang w:eastAsia="pt-BR"/>
              </w:rPr>
              <w:t>Valdes</w:t>
            </w:r>
            <w:proofErr w:type="spellEnd"/>
            <w:r w:rsidRPr="000A0093">
              <w:rPr>
                <w:rFonts w:eastAsia="Times New Roman"/>
                <w:sz w:val="20"/>
                <w:szCs w:val="20"/>
                <w:lang w:eastAsia="pt-BR"/>
              </w:rPr>
              <w:t xml:space="preserve"> (2001</w:t>
            </w:r>
            <w:proofErr w:type="gramStart"/>
            <w:r w:rsidRPr="000A0093">
              <w:rPr>
                <w:rFonts w:eastAsia="Times New Roman"/>
                <w:sz w:val="20"/>
                <w:szCs w:val="20"/>
                <w:lang w:eastAsia="pt-BR"/>
              </w:rPr>
              <w:t>)</w:t>
            </w:r>
            <w:proofErr w:type="gramEnd"/>
          </w:p>
        </w:tc>
        <w:tc>
          <w:tcPr>
            <w:tcW w:w="1418" w:type="dxa"/>
            <w:shd w:val="clear" w:color="auto" w:fill="auto"/>
            <w:noWrap/>
            <w:vAlign w:val="center"/>
            <w:hideMark/>
          </w:tcPr>
          <w:p w14:paraId="3E0BF586"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6BD6E780"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PIB real, contas do governo, exportações e serviço da dívida externa, crédito bancário ao setor privado e apreciação real da </w:t>
            </w:r>
            <w:proofErr w:type="gramStart"/>
            <w:r w:rsidRPr="000A0093">
              <w:rPr>
                <w:rFonts w:eastAsia="Times New Roman"/>
                <w:bCs/>
                <w:sz w:val="20"/>
                <w:szCs w:val="20"/>
                <w:lang w:eastAsia="pt-BR"/>
              </w:rPr>
              <w:t>moeda</w:t>
            </w:r>
            <w:proofErr w:type="gramEnd"/>
          </w:p>
        </w:tc>
        <w:tc>
          <w:tcPr>
            <w:tcW w:w="2587" w:type="dxa"/>
            <w:shd w:val="clear" w:color="auto" w:fill="auto"/>
            <w:noWrap/>
            <w:vAlign w:val="center"/>
          </w:tcPr>
          <w:p w14:paraId="2E7C00D4"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021114" w:rsidRPr="000A0093" w14:paraId="7ED4DA72" w14:textId="77777777" w:rsidTr="00A942B6">
        <w:trPr>
          <w:trHeight w:val="300"/>
        </w:trPr>
        <w:tc>
          <w:tcPr>
            <w:tcW w:w="1858" w:type="dxa"/>
            <w:shd w:val="clear" w:color="auto" w:fill="auto"/>
            <w:noWrap/>
            <w:vAlign w:val="center"/>
            <w:hideMark/>
          </w:tcPr>
          <w:p w14:paraId="223C2B60" w14:textId="77777777" w:rsidR="00021114" w:rsidRPr="000A0093" w:rsidRDefault="00021114"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Hoti</w:t>
            </w:r>
            <w:proofErr w:type="spellEnd"/>
            <w:r w:rsidRPr="000A0093">
              <w:rPr>
                <w:rFonts w:eastAsia="Times New Roman"/>
                <w:sz w:val="20"/>
                <w:szCs w:val="20"/>
                <w:lang w:eastAsia="pt-BR"/>
              </w:rPr>
              <w:t xml:space="preserve"> (2004)</w:t>
            </w:r>
          </w:p>
        </w:tc>
        <w:tc>
          <w:tcPr>
            <w:tcW w:w="1418" w:type="dxa"/>
            <w:shd w:val="clear" w:color="auto" w:fill="auto"/>
            <w:noWrap/>
            <w:vAlign w:val="center"/>
            <w:hideMark/>
          </w:tcPr>
          <w:p w14:paraId="7958C2A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D31B858"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Diversidade de variáveis relacionadas a fatores </w:t>
            </w:r>
            <w:proofErr w:type="gramStart"/>
            <w:r w:rsidRPr="000A0093">
              <w:rPr>
                <w:rFonts w:eastAsia="Times New Roman"/>
                <w:sz w:val="20"/>
                <w:szCs w:val="20"/>
                <w:lang w:eastAsia="pt-BR"/>
              </w:rPr>
              <w:t>econômicos/financeiros</w:t>
            </w:r>
            <w:proofErr w:type="gramEnd"/>
            <w:r w:rsidRPr="000A0093">
              <w:rPr>
                <w:rFonts w:eastAsia="Times New Roman"/>
                <w:sz w:val="20"/>
                <w:szCs w:val="20"/>
                <w:lang w:eastAsia="pt-BR"/>
              </w:rPr>
              <w:t xml:space="preserve"> e a fatores políticos/sociais, estes em menor relevância</w:t>
            </w:r>
          </w:p>
        </w:tc>
        <w:tc>
          <w:tcPr>
            <w:tcW w:w="2587" w:type="dxa"/>
            <w:shd w:val="clear" w:color="auto" w:fill="auto"/>
            <w:noWrap/>
            <w:vAlign w:val="center"/>
          </w:tcPr>
          <w:p w14:paraId="577A0313"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VAR</w:t>
            </w:r>
          </w:p>
        </w:tc>
      </w:tr>
      <w:tr w:rsidR="00021114" w:rsidRPr="000A0093" w14:paraId="7E06DA3D" w14:textId="77777777" w:rsidTr="00A942B6">
        <w:trPr>
          <w:trHeight w:val="300"/>
        </w:trPr>
        <w:tc>
          <w:tcPr>
            <w:tcW w:w="1858" w:type="dxa"/>
            <w:shd w:val="clear" w:color="auto" w:fill="auto"/>
            <w:noWrap/>
            <w:vAlign w:val="center"/>
            <w:hideMark/>
          </w:tcPr>
          <w:p w14:paraId="46CD52DB" w14:textId="77777777" w:rsidR="00021114" w:rsidRPr="000A0093" w:rsidRDefault="00021114"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Baeck</w:t>
            </w:r>
            <w:proofErr w:type="spellEnd"/>
            <w:r w:rsidRPr="000A0093">
              <w:rPr>
                <w:rFonts w:eastAsia="Times New Roman"/>
                <w:sz w:val="20"/>
                <w:szCs w:val="20"/>
                <w:lang w:eastAsia="pt-BR"/>
              </w:rPr>
              <w:t xml:space="preserve"> (2006)</w:t>
            </w:r>
          </w:p>
        </w:tc>
        <w:tc>
          <w:tcPr>
            <w:tcW w:w="1418" w:type="dxa"/>
            <w:shd w:val="clear" w:color="auto" w:fill="auto"/>
            <w:noWrap/>
            <w:vAlign w:val="center"/>
            <w:hideMark/>
          </w:tcPr>
          <w:p w14:paraId="4DF076B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D08596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Renda internacional, índice de </w:t>
            </w:r>
            <w:r w:rsidRPr="00136AF6">
              <w:rPr>
                <w:rFonts w:eastAsia="Times New Roman"/>
                <w:bCs/>
                <w:sz w:val="20"/>
                <w:szCs w:val="20"/>
                <w:lang w:eastAsia="pt-BR"/>
              </w:rPr>
              <w:t xml:space="preserve">aversão ao </w:t>
            </w:r>
            <w:r w:rsidRPr="000A0093">
              <w:rPr>
                <w:rFonts w:eastAsia="Times New Roman"/>
                <w:bCs/>
                <w:sz w:val="20"/>
                <w:szCs w:val="20"/>
                <w:lang w:eastAsia="pt-BR"/>
              </w:rPr>
              <w:t xml:space="preserve">risco, desempenho do mercado de ações estadunidenses e taxa de juros do mesmo </w:t>
            </w:r>
            <w:proofErr w:type="gramStart"/>
            <w:r w:rsidRPr="000A0093">
              <w:rPr>
                <w:rFonts w:eastAsia="Times New Roman"/>
                <w:bCs/>
                <w:sz w:val="20"/>
                <w:szCs w:val="20"/>
                <w:lang w:eastAsia="pt-BR"/>
              </w:rPr>
              <w:t>país</w:t>
            </w:r>
            <w:proofErr w:type="gramEnd"/>
          </w:p>
        </w:tc>
        <w:tc>
          <w:tcPr>
            <w:tcW w:w="2587" w:type="dxa"/>
            <w:shd w:val="clear" w:color="auto" w:fill="auto"/>
            <w:noWrap/>
            <w:vAlign w:val="center"/>
          </w:tcPr>
          <w:p w14:paraId="645A79FD"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Séries Temporais</w:t>
            </w:r>
          </w:p>
        </w:tc>
      </w:tr>
      <w:tr w:rsidR="007E7A38" w:rsidRPr="000A0093" w14:paraId="399D2223" w14:textId="77777777" w:rsidTr="00A942B6">
        <w:trPr>
          <w:trHeight w:val="300"/>
        </w:trPr>
        <w:tc>
          <w:tcPr>
            <w:tcW w:w="1858" w:type="dxa"/>
            <w:shd w:val="clear" w:color="auto" w:fill="auto"/>
            <w:noWrap/>
            <w:vAlign w:val="center"/>
            <w:hideMark/>
          </w:tcPr>
          <w:p w14:paraId="67EF559C"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 xml:space="preserve">Edison e </w:t>
            </w:r>
            <w:proofErr w:type="spellStart"/>
            <w:r w:rsidRPr="000A0093">
              <w:rPr>
                <w:rFonts w:eastAsia="Times New Roman"/>
                <w:sz w:val="20"/>
                <w:szCs w:val="20"/>
                <w:lang w:eastAsia="pt-BR"/>
              </w:rPr>
              <w:t>Warnock</w:t>
            </w:r>
            <w:proofErr w:type="spellEnd"/>
            <w:r w:rsidRPr="000A0093">
              <w:rPr>
                <w:rFonts w:eastAsia="Times New Roman"/>
                <w:sz w:val="20"/>
                <w:szCs w:val="20"/>
                <w:lang w:eastAsia="pt-BR"/>
              </w:rPr>
              <w:t xml:space="preserve"> (2008)</w:t>
            </w:r>
          </w:p>
        </w:tc>
        <w:tc>
          <w:tcPr>
            <w:tcW w:w="1418" w:type="dxa"/>
            <w:shd w:val="clear" w:color="auto" w:fill="auto"/>
            <w:noWrap/>
            <w:vAlign w:val="center"/>
            <w:hideMark/>
          </w:tcPr>
          <w:p w14:paraId="63B440D3"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527C1D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Taxa de juros dos Estados Unidos e PIB desse país (ambos negativamente)</w:t>
            </w:r>
          </w:p>
        </w:tc>
        <w:tc>
          <w:tcPr>
            <w:tcW w:w="2587" w:type="dxa"/>
            <w:shd w:val="clear" w:color="auto" w:fill="auto"/>
            <w:noWrap/>
            <w:vAlign w:val="center"/>
          </w:tcPr>
          <w:p w14:paraId="3144DB48"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6BC8A121" w14:textId="77777777" w:rsidTr="00A942B6">
        <w:trPr>
          <w:trHeight w:val="300"/>
        </w:trPr>
        <w:tc>
          <w:tcPr>
            <w:tcW w:w="1858" w:type="dxa"/>
            <w:shd w:val="clear" w:color="auto" w:fill="auto"/>
            <w:noWrap/>
            <w:vAlign w:val="center"/>
            <w:hideMark/>
          </w:tcPr>
          <w:p w14:paraId="5C336F68" w14:textId="77777777" w:rsidR="007E7A38" w:rsidRPr="000A0093" w:rsidRDefault="007E7A38"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t>Brana</w:t>
            </w:r>
            <w:proofErr w:type="spellEnd"/>
            <w:r w:rsidRPr="000A0093">
              <w:rPr>
                <w:rFonts w:eastAsia="Times New Roman"/>
                <w:sz w:val="20"/>
                <w:szCs w:val="20"/>
                <w:lang w:eastAsia="pt-BR"/>
              </w:rPr>
              <w:t xml:space="preserve"> e </w:t>
            </w:r>
            <w:proofErr w:type="spellStart"/>
            <w:r w:rsidRPr="000A0093">
              <w:rPr>
                <w:rFonts w:eastAsia="Times New Roman"/>
                <w:sz w:val="20"/>
                <w:szCs w:val="20"/>
                <w:lang w:eastAsia="pt-BR"/>
              </w:rPr>
              <w:t>Lahet</w:t>
            </w:r>
            <w:proofErr w:type="spellEnd"/>
            <w:r w:rsidRPr="000A0093">
              <w:rPr>
                <w:rFonts w:eastAsia="Times New Roman"/>
                <w:sz w:val="20"/>
                <w:szCs w:val="20"/>
                <w:lang w:eastAsia="pt-BR"/>
              </w:rPr>
              <w:t xml:space="preserve"> (2010)</w:t>
            </w:r>
          </w:p>
        </w:tc>
        <w:tc>
          <w:tcPr>
            <w:tcW w:w="1418" w:type="dxa"/>
            <w:shd w:val="clear" w:color="auto" w:fill="auto"/>
            <w:noWrap/>
            <w:vAlign w:val="center"/>
            <w:hideMark/>
          </w:tcPr>
          <w:p w14:paraId="3C45C8B1"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C30F4F5"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Estratégias de </w:t>
            </w:r>
            <w:proofErr w:type="spellStart"/>
            <w:r w:rsidRPr="000A0093">
              <w:rPr>
                <w:rFonts w:eastAsia="Times New Roman"/>
                <w:bCs/>
                <w:i/>
                <w:sz w:val="20"/>
                <w:szCs w:val="20"/>
                <w:lang w:eastAsia="pt-BR"/>
              </w:rPr>
              <w:t>carry</w:t>
            </w:r>
            <w:proofErr w:type="spellEnd"/>
            <w:r w:rsidRPr="000A0093">
              <w:rPr>
                <w:rFonts w:eastAsia="Times New Roman"/>
                <w:bCs/>
                <w:i/>
                <w:sz w:val="20"/>
                <w:szCs w:val="20"/>
                <w:lang w:eastAsia="pt-BR"/>
              </w:rPr>
              <w:t>-</w:t>
            </w:r>
            <w:proofErr w:type="gramStart"/>
            <w:r w:rsidRPr="000A0093">
              <w:rPr>
                <w:rFonts w:eastAsia="Times New Roman"/>
                <w:bCs/>
                <w:i/>
                <w:sz w:val="20"/>
                <w:szCs w:val="20"/>
                <w:lang w:eastAsia="pt-BR"/>
              </w:rPr>
              <w:t>trade</w:t>
            </w:r>
            <w:proofErr w:type="gramEnd"/>
            <w:r w:rsidRPr="000A0093">
              <w:rPr>
                <w:rFonts w:eastAsia="Times New Roman"/>
                <w:bCs/>
                <w:sz w:val="20"/>
                <w:szCs w:val="20"/>
                <w:lang w:eastAsia="pt-BR"/>
              </w:rPr>
              <w:t xml:space="preserve">, liquidez global e </w:t>
            </w:r>
            <w:r w:rsidRPr="000A0093">
              <w:rPr>
                <w:rFonts w:eastAsia="Times New Roman"/>
                <w:bCs/>
                <w:sz w:val="20"/>
                <w:szCs w:val="20"/>
                <w:lang w:eastAsia="pt-BR"/>
              </w:rPr>
              <w:lastRenderedPageBreak/>
              <w:t>fatores de contágio</w:t>
            </w:r>
          </w:p>
        </w:tc>
        <w:tc>
          <w:tcPr>
            <w:tcW w:w="2587" w:type="dxa"/>
            <w:shd w:val="clear" w:color="auto" w:fill="auto"/>
            <w:noWrap/>
            <w:vAlign w:val="center"/>
          </w:tcPr>
          <w:p w14:paraId="5D323FDB" w14:textId="77777777" w:rsidR="007E7A38" w:rsidRPr="00872060" w:rsidRDefault="007E7A38" w:rsidP="00F82B07">
            <w:pPr>
              <w:spacing w:line="240" w:lineRule="auto"/>
              <w:jc w:val="center"/>
              <w:rPr>
                <w:rFonts w:eastAsia="Times New Roman"/>
                <w:sz w:val="20"/>
                <w:szCs w:val="20"/>
                <w:lang w:eastAsia="pt-BR"/>
              </w:rPr>
            </w:pPr>
            <w:r>
              <w:rPr>
                <w:rFonts w:eastAsia="Times New Roman"/>
                <w:sz w:val="20"/>
                <w:szCs w:val="20"/>
                <w:lang w:eastAsia="pt-BR"/>
              </w:rPr>
              <w:lastRenderedPageBreak/>
              <w:t>Painel: EF, MQG e</w:t>
            </w:r>
            <w:r w:rsidRPr="00872060">
              <w:rPr>
                <w:rFonts w:eastAsia="Times New Roman"/>
                <w:sz w:val="20"/>
                <w:szCs w:val="20"/>
                <w:lang w:eastAsia="pt-BR"/>
              </w:rPr>
              <w:t xml:space="preserve"> </w:t>
            </w:r>
            <w:r w:rsidRPr="00125D7B">
              <w:rPr>
                <w:sz w:val="20"/>
                <w:szCs w:val="20"/>
              </w:rPr>
              <w:t xml:space="preserve">Método </w:t>
            </w:r>
            <w:r w:rsidRPr="00125D7B">
              <w:rPr>
                <w:sz w:val="20"/>
                <w:szCs w:val="20"/>
              </w:rPr>
              <w:lastRenderedPageBreak/>
              <w:t>dos Momentos Generalizados (MMG</w:t>
            </w:r>
            <w:proofErr w:type="gramStart"/>
            <w:r w:rsidRPr="00125D7B">
              <w:rPr>
                <w:sz w:val="20"/>
                <w:szCs w:val="20"/>
              </w:rPr>
              <w:t>)</w:t>
            </w:r>
            <w:proofErr w:type="gramEnd"/>
          </w:p>
        </w:tc>
      </w:tr>
      <w:tr w:rsidR="007E7A38" w:rsidRPr="000A0093" w14:paraId="51D1C7DC" w14:textId="77777777" w:rsidTr="00A942B6">
        <w:trPr>
          <w:trHeight w:val="300"/>
        </w:trPr>
        <w:tc>
          <w:tcPr>
            <w:tcW w:w="1858" w:type="dxa"/>
            <w:shd w:val="clear" w:color="auto" w:fill="auto"/>
            <w:noWrap/>
            <w:vAlign w:val="center"/>
            <w:hideMark/>
          </w:tcPr>
          <w:p w14:paraId="0ADA5066" w14:textId="77777777" w:rsidR="007E7A38" w:rsidRPr="000A0093" w:rsidRDefault="007E7A38" w:rsidP="00F82B07">
            <w:pPr>
              <w:spacing w:line="240" w:lineRule="auto"/>
              <w:jc w:val="center"/>
              <w:rPr>
                <w:rFonts w:eastAsia="Times New Roman"/>
                <w:sz w:val="20"/>
                <w:szCs w:val="20"/>
                <w:lang w:eastAsia="pt-BR"/>
              </w:rPr>
            </w:pPr>
            <w:proofErr w:type="spellStart"/>
            <w:r w:rsidRPr="000A0093">
              <w:rPr>
                <w:rFonts w:eastAsia="Times New Roman"/>
                <w:sz w:val="20"/>
                <w:szCs w:val="20"/>
                <w:lang w:eastAsia="pt-BR"/>
              </w:rPr>
              <w:lastRenderedPageBreak/>
              <w:t>Atoyan</w:t>
            </w:r>
            <w:proofErr w:type="spellEnd"/>
            <w:r w:rsidRPr="000A0093">
              <w:rPr>
                <w:rFonts w:eastAsia="Times New Roman"/>
                <w:sz w:val="20"/>
                <w:szCs w:val="20"/>
                <w:lang w:eastAsia="pt-BR"/>
              </w:rPr>
              <w:t>, Jaeger e Smith (2012</w:t>
            </w:r>
            <w:proofErr w:type="gramStart"/>
            <w:r w:rsidRPr="000A0093">
              <w:rPr>
                <w:rFonts w:eastAsia="Times New Roman"/>
                <w:sz w:val="20"/>
                <w:szCs w:val="20"/>
                <w:lang w:eastAsia="pt-BR"/>
              </w:rPr>
              <w:t>)</w:t>
            </w:r>
            <w:proofErr w:type="gramEnd"/>
          </w:p>
        </w:tc>
        <w:tc>
          <w:tcPr>
            <w:tcW w:w="1418" w:type="dxa"/>
            <w:shd w:val="clear" w:color="auto" w:fill="auto"/>
            <w:noWrap/>
            <w:vAlign w:val="center"/>
            <w:hideMark/>
          </w:tcPr>
          <w:p w14:paraId="744B119F"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7EF00648"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Rendimento dos ativos nos países de origem dos investimentos</w:t>
            </w:r>
          </w:p>
        </w:tc>
        <w:tc>
          <w:tcPr>
            <w:tcW w:w="2587" w:type="dxa"/>
            <w:shd w:val="clear" w:color="auto" w:fill="auto"/>
            <w:noWrap/>
            <w:vAlign w:val="center"/>
          </w:tcPr>
          <w:p w14:paraId="592DEC5E"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5C9B9D50" w14:textId="77777777" w:rsidTr="00A942B6">
        <w:trPr>
          <w:trHeight w:val="300"/>
        </w:trPr>
        <w:tc>
          <w:tcPr>
            <w:tcW w:w="1858" w:type="dxa"/>
            <w:shd w:val="clear" w:color="auto" w:fill="auto"/>
            <w:noWrap/>
            <w:vAlign w:val="center"/>
            <w:hideMark/>
          </w:tcPr>
          <w:p w14:paraId="77ED2A7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 xml:space="preserve">Bruno e </w:t>
            </w:r>
            <w:proofErr w:type="spellStart"/>
            <w:r w:rsidRPr="000A0093">
              <w:rPr>
                <w:rFonts w:eastAsia="Times New Roman"/>
                <w:sz w:val="20"/>
                <w:szCs w:val="20"/>
                <w:lang w:eastAsia="pt-BR"/>
              </w:rPr>
              <w:t>Shin</w:t>
            </w:r>
            <w:proofErr w:type="spellEnd"/>
            <w:r w:rsidRPr="000A0093">
              <w:rPr>
                <w:rFonts w:eastAsia="Times New Roman"/>
                <w:sz w:val="20"/>
                <w:szCs w:val="20"/>
                <w:lang w:eastAsia="pt-BR"/>
              </w:rPr>
              <w:t xml:space="preserve"> (2013)</w:t>
            </w:r>
          </w:p>
        </w:tc>
        <w:tc>
          <w:tcPr>
            <w:tcW w:w="1418" w:type="dxa"/>
            <w:shd w:val="clear" w:color="auto" w:fill="auto"/>
            <w:noWrap/>
            <w:vAlign w:val="center"/>
            <w:hideMark/>
          </w:tcPr>
          <w:p w14:paraId="60833ED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260ECB0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VIX em nível e crescimento, diferencial de crescimento econômico, alavancagem local e dívida/</w:t>
            </w:r>
            <w:proofErr w:type="gramStart"/>
            <w:r w:rsidRPr="000A0093">
              <w:rPr>
                <w:rFonts w:eastAsia="Times New Roman"/>
                <w:sz w:val="20"/>
                <w:szCs w:val="20"/>
                <w:lang w:eastAsia="pt-BR"/>
              </w:rPr>
              <w:t>PIB</w:t>
            </w:r>
            <w:proofErr w:type="gramEnd"/>
          </w:p>
        </w:tc>
        <w:tc>
          <w:tcPr>
            <w:tcW w:w="2587" w:type="dxa"/>
            <w:shd w:val="clear" w:color="auto" w:fill="auto"/>
            <w:noWrap/>
            <w:vAlign w:val="center"/>
          </w:tcPr>
          <w:p w14:paraId="20905863" w14:textId="77777777" w:rsidR="007E7A38" w:rsidRPr="00872060" w:rsidRDefault="007E7A38"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125D7B">
              <w:rPr>
                <w:sz w:val="20"/>
                <w:szCs w:val="20"/>
              </w:rPr>
              <w:t>MMG</w:t>
            </w:r>
          </w:p>
        </w:tc>
      </w:tr>
      <w:tr w:rsidR="00FA4012" w:rsidRPr="000A0093" w14:paraId="2CC8FFD1" w14:textId="77777777" w:rsidTr="00A942B6">
        <w:trPr>
          <w:trHeight w:val="300"/>
        </w:trPr>
        <w:tc>
          <w:tcPr>
            <w:tcW w:w="1858" w:type="dxa"/>
            <w:shd w:val="clear" w:color="auto" w:fill="auto"/>
            <w:noWrap/>
            <w:vAlign w:val="center"/>
            <w:hideMark/>
          </w:tcPr>
          <w:p w14:paraId="58EEED9D"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 xml:space="preserve">Ahmed e </w:t>
            </w:r>
            <w:proofErr w:type="spellStart"/>
            <w:r w:rsidRPr="000A0093">
              <w:rPr>
                <w:rFonts w:eastAsia="Times New Roman"/>
                <w:sz w:val="20"/>
                <w:szCs w:val="20"/>
                <w:lang w:eastAsia="pt-BR"/>
              </w:rPr>
              <w:t>Zlate</w:t>
            </w:r>
            <w:proofErr w:type="spellEnd"/>
            <w:r w:rsidRPr="000A0093">
              <w:rPr>
                <w:rFonts w:eastAsia="Times New Roman"/>
                <w:sz w:val="20"/>
                <w:szCs w:val="20"/>
                <w:lang w:eastAsia="pt-BR"/>
              </w:rPr>
              <w:t xml:space="preserve"> (2013)</w:t>
            </w:r>
          </w:p>
        </w:tc>
        <w:tc>
          <w:tcPr>
            <w:tcW w:w="1418" w:type="dxa"/>
            <w:shd w:val="clear" w:color="auto" w:fill="auto"/>
            <w:noWrap/>
            <w:vAlign w:val="center"/>
            <w:hideMark/>
          </w:tcPr>
          <w:p w14:paraId="611E7AEC"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Não se aplica</w:t>
            </w:r>
          </w:p>
        </w:tc>
        <w:tc>
          <w:tcPr>
            <w:tcW w:w="3827" w:type="dxa"/>
            <w:shd w:val="clear" w:color="auto" w:fill="auto"/>
            <w:noWrap/>
            <w:vAlign w:val="center"/>
            <w:hideMark/>
          </w:tcPr>
          <w:p w14:paraId="695E963C" w14:textId="77777777" w:rsidR="00FA4012" w:rsidRPr="000A0093" w:rsidRDefault="00FA4012"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Diferencial de crescimento, VIX e diferencial de </w:t>
            </w:r>
            <w:proofErr w:type="gramStart"/>
            <w:r w:rsidRPr="000A0093">
              <w:rPr>
                <w:rFonts w:eastAsia="Times New Roman"/>
                <w:sz w:val="20"/>
                <w:szCs w:val="20"/>
                <w:lang w:eastAsia="pt-BR"/>
              </w:rPr>
              <w:t>juros</w:t>
            </w:r>
            <w:proofErr w:type="gramEnd"/>
          </w:p>
        </w:tc>
        <w:tc>
          <w:tcPr>
            <w:tcW w:w="2587" w:type="dxa"/>
            <w:shd w:val="clear" w:color="auto" w:fill="auto"/>
            <w:noWrap/>
            <w:vAlign w:val="center"/>
          </w:tcPr>
          <w:p w14:paraId="6CB66837" w14:textId="77777777" w:rsidR="00FA4012" w:rsidRPr="000A0093" w:rsidRDefault="00FA4012"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F63E5C" w:rsidRPr="000A0093" w14:paraId="1A40AA36" w14:textId="77777777" w:rsidTr="00A942B6">
        <w:trPr>
          <w:trHeight w:val="300"/>
        </w:trPr>
        <w:tc>
          <w:tcPr>
            <w:tcW w:w="1858" w:type="dxa"/>
            <w:shd w:val="clear" w:color="auto" w:fill="auto"/>
            <w:noWrap/>
            <w:vAlign w:val="center"/>
            <w:hideMark/>
          </w:tcPr>
          <w:p w14:paraId="360AB5E4"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Rey (2013)</w:t>
            </w:r>
          </w:p>
        </w:tc>
        <w:tc>
          <w:tcPr>
            <w:tcW w:w="1418" w:type="dxa"/>
            <w:shd w:val="clear" w:color="auto" w:fill="auto"/>
            <w:noWrap/>
            <w:vAlign w:val="center"/>
            <w:hideMark/>
          </w:tcPr>
          <w:p w14:paraId="53F0B1CF"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3E24510" w14:textId="77777777" w:rsidR="00F63E5C" w:rsidRPr="000A0093" w:rsidRDefault="00F63E5C"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VIX, </w:t>
            </w:r>
            <w:r w:rsidRPr="000A0093">
              <w:rPr>
                <w:rFonts w:eastAsia="Times New Roman"/>
                <w:bCs/>
                <w:sz w:val="20"/>
                <w:szCs w:val="20"/>
                <w:lang w:eastAsia="pt-BR"/>
              </w:rPr>
              <w:t xml:space="preserve">taxa de juros de curto prazo mundial e crescimento do PIB </w:t>
            </w:r>
            <w:proofErr w:type="gramStart"/>
            <w:r w:rsidRPr="000A0093">
              <w:rPr>
                <w:rFonts w:eastAsia="Times New Roman"/>
                <w:bCs/>
                <w:sz w:val="20"/>
                <w:szCs w:val="20"/>
                <w:lang w:eastAsia="pt-BR"/>
              </w:rPr>
              <w:t>mundial</w:t>
            </w:r>
            <w:proofErr w:type="gramEnd"/>
          </w:p>
        </w:tc>
        <w:tc>
          <w:tcPr>
            <w:tcW w:w="2587" w:type="dxa"/>
            <w:shd w:val="clear" w:color="auto" w:fill="auto"/>
            <w:noWrap/>
            <w:vAlign w:val="center"/>
          </w:tcPr>
          <w:p w14:paraId="2A80621D" w14:textId="77777777" w:rsidR="00F63E5C" w:rsidRPr="000A0093" w:rsidRDefault="00F63E5C"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bl>
    <w:p w14:paraId="3DCE8B85" w14:textId="77777777" w:rsidR="00BC4334" w:rsidRDefault="00BC4334" w:rsidP="00FC2664">
      <w:pPr>
        <w:spacing w:line="480" w:lineRule="auto"/>
        <w:rPr>
          <w:bCs/>
          <w:sz w:val="20"/>
          <w:szCs w:val="20"/>
        </w:rPr>
      </w:pPr>
      <w:r w:rsidRPr="000A0093">
        <w:rPr>
          <w:bCs/>
          <w:sz w:val="20"/>
          <w:szCs w:val="20"/>
        </w:rPr>
        <w:t>Fonte: Elaboração própria.</w:t>
      </w:r>
    </w:p>
    <w:p w14:paraId="37CB461B" w14:textId="77777777" w:rsidR="008206F4" w:rsidRPr="000A0093" w:rsidRDefault="008206F4" w:rsidP="00FC2664">
      <w:pPr>
        <w:spacing w:line="480" w:lineRule="auto"/>
        <w:rPr>
          <w:bCs/>
          <w:sz w:val="20"/>
          <w:szCs w:val="20"/>
        </w:rPr>
      </w:pPr>
    </w:p>
    <w:p w14:paraId="0C4D5D04" w14:textId="77777777" w:rsidR="00367569" w:rsidRPr="000A0093" w:rsidRDefault="008664F9" w:rsidP="00FC2664">
      <w:pPr>
        <w:pStyle w:val="Ttulo2"/>
        <w:spacing w:before="0" w:line="480" w:lineRule="auto"/>
        <w:rPr>
          <w:color w:val="auto"/>
        </w:rPr>
      </w:pPr>
      <w:r>
        <w:rPr>
          <w:color w:val="auto"/>
        </w:rPr>
        <w:t>3</w:t>
      </w:r>
      <w:r w:rsidR="001C42BA" w:rsidRPr="000A0093">
        <w:rPr>
          <w:color w:val="auto"/>
        </w:rPr>
        <w:t>.</w:t>
      </w:r>
      <w:r w:rsidR="00367569" w:rsidRPr="000A0093">
        <w:rPr>
          <w:color w:val="auto"/>
        </w:rPr>
        <w:t xml:space="preserve"> Método de análise</w:t>
      </w:r>
    </w:p>
    <w:p w14:paraId="0EF628D0" w14:textId="6A3ABDFE" w:rsidR="00367569" w:rsidRPr="000A0093" w:rsidRDefault="001F6790" w:rsidP="00FC2664">
      <w:pPr>
        <w:spacing w:line="480" w:lineRule="auto"/>
        <w:ind w:firstLine="851"/>
        <w:rPr>
          <w:bCs/>
        </w:rPr>
      </w:pPr>
      <w:r w:rsidRPr="000A0093">
        <w:rPr>
          <w:bCs/>
        </w:rPr>
        <w:t>O</w:t>
      </w:r>
      <w:r w:rsidR="00367569" w:rsidRPr="000A0093">
        <w:rPr>
          <w:bCs/>
        </w:rPr>
        <w:t xml:space="preserve"> estudo empírico </w:t>
      </w:r>
      <w:r w:rsidR="00795AD9" w:rsidRPr="000A0093">
        <w:rPr>
          <w:bCs/>
        </w:rPr>
        <w:t xml:space="preserve">que será apresentado a seguir </w:t>
      </w:r>
      <w:r w:rsidR="00367569" w:rsidRPr="000A0093">
        <w:rPr>
          <w:bCs/>
        </w:rPr>
        <w:t>te</w:t>
      </w:r>
      <w:r w:rsidRPr="000A0093">
        <w:rPr>
          <w:bCs/>
        </w:rPr>
        <w:t>m</w:t>
      </w:r>
      <w:r w:rsidR="00367569" w:rsidRPr="000A0093">
        <w:rPr>
          <w:bCs/>
        </w:rPr>
        <w:t xml:space="preserve"> como foco os fluxos financeiros do balanço de pagamentos em termos líquidos, os quais foram obtidos pela soma dos investimentos de portfólio, dos derivativos e das outras contas. Este resultado equivale </w:t>
      </w:r>
      <w:r w:rsidRPr="000A0093">
        <w:rPr>
          <w:bCs/>
        </w:rPr>
        <w:t>à</w:t>
      </w:r>
      <w:r w:rsidR="00367569" w:rsidRPr="000A0093">
        <w:rPr>
          <w:bCs/>
        </w:rPr>
        <w:t xml:space="preserve"> conta financeira subtraída </w:t>
      </w:r>
      <w:r w:rsidRPr="000A0093">
        <w:rPr>
          <w:bCs/>
        </w:rPr>
        <w:t>d</w:t>
      </w:r>
      <w:r w:rsidR="00367569" w:rsidRPr="000A0093">
        <w:rPr>
          <w:bCs/>
        </w:rPr>
        <w:t>o investimento externo</w:t>
      </w:r>
      <w:r w:rsidR="00ED439D" w:rsidRPr="000A0093">
        <w:rPr>
          <w:bCs/>
        </w:rPr>
        <w:t xml:space="preserve"> direto (IED)</w:t>
      </w:r>
      <w:r w:rsidR="00367569" w:rsidRPr="000A0093">
        <w:rPr>
          <w:bCs/>
        </w:rPr>
        <w:t xml:space="preserve">. Tal como em diversos trabalhos </w:t>
      </w:r>
      <w:r w:rsidR="00795AD9" w:rsidRPr="000A0093">
        <w:rPr>
          <w:bCs/>
        </w:rPr>
        <w:t>mencionados</w:t>
      </w:r>
      <w:r w:rsidR="00367569" w:rsidRPr="000A0093">
        <w:rPr>
          <w:bCs/>
        </w:rPr>
        <w:t xml:space="preserve"> anteriormente, </w:t>
      </w:r>
      <w:r w:rsidR="00795AD9" w:rsidRPr="000A0093">
        <w:rPr>
          <w:bCs/>
        </w:rPr>
        <w:t xml:space="preserve">foi adotado </w:t>
      </w:r>
      <w:r w:rsidR="00367569" w:rsidRPr="000A0093">
        <w:rPr>
          <w:bCs/>
        </w:rPr>
        <w:t xml:space="preserve">um modelo para estimar os determinantes dos fluxos financeiros </w:t>
      </w:r>
      <w:r w:rsidR="00795AD9" w:rsidRPr="000A0093">
        <w:rPr>
          <w:bCs/>
        </w:rPr>
        <w:t>par</w:t>
      </w:r>
      <w:r w:rsidR="00367569" w:rsidRPr="000A0093">
        <w:rPr>
          <w:bCs/>
        </w:rPr>
        <w:t>a</w:t>
      </w:r>
      <w:r w:rsidR="00795AD9" w:rsidRPr="000A0093">
        <w:rPr>
          <w:bCs/>
        </w:rPr>
        <w:t xml:space="preserve"> </w:t>
      </w:r>
      <w:r w:rsidR="00367569" w:rsidRPr="000A0093">
        <w:rPr>
          <w:bCs/>
        </w:rPr>
        <w:t xml:space="preserve">os países </w:t>
      </w:r>
      <w:r w:rsidR="00E1579C">
        <w:rPr>
          <w:bCs/>
        </w:rPr>
        <w:t>em</w:t>
      </w:r>
      <w:r w:rsidR="00D776D0">
        <w:rPr>
          <w:bCs/>
        </w:rPr>
        <w:t xml:space="preserve"> desenvolvimento</w:t>
      </w:r>
      <w:r w:rsidR="00795AD9" w:rsidRPr="000A0093">
        <w:rPr>
          <w:bCs/>
        </w:rPr>
        <w:t>,</w:t>
      </w:r>
      <w:r w:rsidR="00367569" w:rsidRPr="000A0093">
        <w:rPr>
          <w:bCs/>
        </w:rPr>
        <w:t xml:space="preserve"> incorporando </w:t>
      </w:r>
      <w:r w:rsidR="00D776D0">
        <w:rPr>
          <w:bCs/>
        </w:rPr>
        <w:t>tanto variáveis que se enquadra</w:t>
      </w:r>
      <w:r w:rsidR="00367569" w:rsidRPr="000A0093">
        <w:rPr>
          <w:bCs/>
        </w:rPr>
        <w:t xml:space="preserve"> como </w:t>
      </w:r>
      <w:proofErr w:type="spellStart"/>
      <w:r w:rsidR="00367569" w:rsidRPr="000A0093">
        <w:rPr>
          <w:bCs/>
          <w:i/>
        </w:rPr>
        <w:t>push</w:t>
      </w:r>
      <w:proofErr w:type="spellEnd"/>
      <w:r w:rsidR="00367569" w:rsidRPr="000A0093">
        <w:rPr>
          <w:bCs/>
          <w:i/>
        </w:rPr>
        <w:t xml:space="preserve"> </w:t>
      </w:r>
      <w:proofErr w:type="spellStart"/>
      <w:r w:rsidR="00367569" w:rsidRPr="000A0093">
        <w:rPr>
          <w:bCs/>
          <w:i/>
        </w:rPr>
        <w:t>factor</w:t>
      </w:r>
      <w:proofErr w:type="spellEnd"/>
      <w:r w:rsidR="00367569" w:rsidRPr="000A0093">
        <w:rPr>
          <w:bCs/>
        </w:rPr>
        <w:t xml:space="preserve"> quanto como </w:t>
      </w:r>
      <w:proofErr w:type="spellStart"/>
      <w:r w:rsidR="00367569" w:rsidRPr="000A0093">
        <w:rPr>
          <w:bCs/>
          <w:i/>
        </w:rPr>
        <w:t>pull</w:t>
      </w:r>
      <w:proofErr w:type="spellEnd"/>
      <w:r w:rsidR="00367569" w:rsidRPr="000A0093">
        <w:rPr>
          <w:bCs/>
          <w:i/>
        </w:rPr>
        <w:t xml:space="preserve"> </w:t>
      </w:r>
      <w:proofErr w:type="spellStart"/>
      <w:r w:rsidR="00367569" w:rsidRPr="000A0093">
        <w:rPr>
          <w:bCs/>
          <w:i/>
        </w:rPr>
        <w:t>factor</w:t>
      </w:r>
      <w:proofErr w:type="spellEnd"/>
      <w:r w:rsidR="00367569" w:rsidRPr="000A0093">
        <w:rPr>
          <w:bCs/>
        </w:rPr>
        <w:t xml:space="preserve">. </w:t>
      </w:r>
      <w:r w:rsidR="00795AD9" w:rsidRPr="000A0093">
        <w:rPr>
          <w:bCs/>
        </w:rPr>
        <w:t xml:space="preserve">No caso deste trabalho, a análise </w:t>
      </w:r>
      <w:r w:rsidR="00A933AE" w:rsidRPr="000A0093">
        <w:rPr>
          <w:bCs/>
        </w:rPr>
        <w:t xml:space="preserve">somente </w:t>
      </w:r>
      <w:r w:rsidR="00795AD9" w:rsidRPr="000A0093">
        <w:rPr>
          <w:bCs/>
        </w:rPr>
        <w:t xml:space="preserve">dos fluxos financeiros </w:t>
      </w:r>
      <w:r w:rsidR="00A933AE" w:rsidRPr="000A0093">
        <w:rPr>
          <w:bCs/>
        </w:rPr>
        <w:t>decorre do o</w:t>
      </w:r>
      <w:r w:rsidR="00A942B6">
        <w:rPr>
          <w:bCs/>
        </w:rPr>
        <w:t>bjetivo específico de confirmar</w:t>
      </w:r>
      <w:r w:rsidR="00D776D0">
        <w:rPr>
          <w:bCs/>
        </w:rPr>
        <w:t xml:space="preserve"> </w:t>
      </w:r>
      <w:r w:rsidR="00A933AE" w:rsidRPr="000A0093">
        <w:rPr>
          <w:bCs/>
        </w:rPr>
        <w:t xml:space="preserve">(ou não) </w:t>
      </w:r>
      <w:r w:rsidR="00A933AE" w:rsidRPr="003D5D9F">
        <w:rPr>
          <w:bCs/>
        </w:rPr>
        <w:t>a influência de uma característica fundamental do sistema monetário e financeiro internacional contemporâneo – o grau de preferência pela liquidez dos agentes</w:t>
      </w:r>
      <w:r w:rsidR="00AF30CD">
        <w:rPr>
          <w:bCs/>
        </w:rPr>
        <w:t xml:space="preserve"> privados globais</w:t>
      </w:r>
      <w:r w:rsidR="00A933AE" w:rsidRPr="000A0093">
        <w:rPr>
          <w:bCs/>
        </w:rPr>
        <w:t xml:space="preserve"> - na dinâmica desses fluxos. </w:t>
      </w:r>
      <w:r w:rsidR="00367569" w:rsidRPr="000A0093">
        <w:rPr>
          <w:bCs/>
        </w:rPr>
        <w:t xml:space="preserve">A </w:t>
      </w:r>
      <w:r w:rsidR="00A933AE" w:rsidRPr="000A0093">
        <w:rPr>
          <w:bCs/>
        </w:rPr>
        <w:t xml:space="preserve">análise dos fluxos de capitais incluindo </w:t>
      </w:r>
      <w:r w:rsidR="00ED439D" w:rsidRPr="000A0093">
        <w:rPr>
          <w:bCs/>
        </w:rPr>
        <w:t xml:space="preserve">o IED </w:t>
      </w:r>
      <w:r w:rsidR="00A933AE" w:rsidRPr="000A0093">
        <w:rPr>
          <w:bCs/>
        </w:rPr>
        <w:t>exigiria, igualmente, a consideração de</w:t>
      </w:r>
      <w:r w:rsidR="00A839AC" w:rsidRPr="000A0093">
        <w:rPr>
          <w:bCs/>
        </w:rPr>
        <w:t xml:space="preserve"> </w:t>
      </w:r>
      <w:r w:rsidR="00A933AE" w:rsidRPr="000A0093">
        <w:rPr>
          <w:bCs/>
        </w:rPr>
        <w:t xml:space="preserve">um conjunto de </w:t>
      </w:r>
      <w:r w:rsidR="00A839AC" w:rsidRPr="000A0093">
        <w:rPr>
          <w:bCs/>
        </w:rPr>
        <w:t xml:space="preserve">fatores </w:t>
      </w:r>
      <w:r w:rsidR="00A933AE" w:rsidRPr="000A0093">
        <w:rPr>
          <w:bCs/>
        </w:rPr>
        <w:t xml:space="preserve">de natureza </w:t>
      </w:r>
      <w:r w:rsidR="00A839AC" w:rsidRPr="000A0093">
        <w:rPr>
          <w:bCs/>
        </w:rPr>
        <w:t>produtiv</w:t>
      </w:r>
      <w:r w:rsidR="00A933AE" w:rsidRPr="000A0093">
        <w:rPr>
          <w:bCs/>
        </w:rPr>
        <w:t xml:space="preserve">a, o </w:t>
      </w:r>
      <w:r w:rsidR="00A839AC" w:rsidRPr="000A0093">
        <w:rPr>
          <w:bCs/>
        </w:rPr>
        <w:t>que foge</w:t>
      </w:r>
      <w:r w:rsidR="00A933AE" w:rsidRPr="000A0093">
        <w:rPr>
          <w:bCs/>
        </w:rPr>
        <w:t xml:space="preserve"> </w:t>
      </w:r>
      <w:r w:rsidR="00A839AC" w:rsidRPr="000A0093">
        <w:rPr>
          <w:bCs/>
        </w:rPr>
        <w:t>ao escopo desse trabalho.</w:t>
      </w:r>
    </w:p>
    <w:p w14:paraId="14887C8C" w14:textId="1ADE0973" w:rsidR="00367569" w:rsidRDefault="00367569" w:rsidP="009C34E4">
      <w:pPr>
        <w:spacing w:line="480" w:lineRule="auto"/>
        <w:ind w:firstLine="851"/>
        <w:rPr>
          <w:bCs/>
        </w:rPr>
      </w:pPr>
      <w:r w:rsidRPr="000A0093">
        <w:rPr>
          <w:bCs/>
        </w:rPr>
        <w:t>Como determinantes externos</w:t>
      </w:r>
      <w:r w:rsidR="00A933AE" w:rsidRPr="000A0093">
        <w:rPr>
          <w:bCs/>
        </w:rPr>
        <w:t>,</w:t>
      </w:r>
      <w:r w:rsidRPr="000A0093">
        <w:rPr>
          <w:bCs/>
        </w:rPr>
        <w:t xml:space="preserve"> optou-se por: </w:t>
      </w:r>
      <w:r w:rsidR="00A933AE" w:rsidRPr="000A0093">
        <w:rPr>
          <w:bCs/>
        </w:rPr>
        <w:t>i)</w:t>
      </w:r>
      <w:r w:rsidRPr="000A0093">
        <w:rPr>
          <w:bCs/>
        </w:rPr>
        <w:t xml:space="preserve"> </w:t>
      </w:r>
      <w:r w:rsidRPr="000A0093">
        <w:rPr>
          <w:bCs/>
          <w:i/>
        </w:rPr>
        <w:t xml:space="preserve">Chicago </w:t>
      </w:r>
      <w:proofErr w:type="spellStart"/>
      <w:r w:rsidRPr="000A0093">
        <w:rPr>
          <w:bCs/>
          <w:i/>
        </w:rPr>
        <w:t>Board</w:t>
      </w:r>
      <w:proofErr w:type="spellEnd"/>
      <w:r w:rsidRPr="000A0093">
        <w:rPr>
          <w:bCs/>
          <w:i/>
        </w:rPr>
        <w:t xml:space="preserve"> </w:t>
      </w:r>
      <w:proofErr w:type="spellStart"/>
      <w:r w:rsidRPr="000A0093">
        <w:rPr>
          <w:bCs/>
          <w:i/>
        </w:rPr>
        <w:t>Options</w:t>
      </w:r>
      <w:proofErr w:type="spellEnd"/>
      <w:r w:rsidRPr="000A0093">
        <w:rPr>
          <w:bCs/>
          <w:i/>
        </w:rPr>
        <w:t xml:space="preserve"> Exchange Market </w:t>
      </w:r>
      <w:proofErr w:type="spellStart"/>
      <w:r w:rsidRPr="000A0093">
        <w:rPr>
          <w:bCs/>
          <w:i/>
        </w:rPr>
        <w:t>Volatility</w:t>
      </w:r>
      <w:proofErr w:type="spellEnd"/>
      <w:r w:rsidRPr="000A0093">
        <w:rPr>
          <w:bCs/>
          <w:i/>
        </w:rPr>
        <w:t xml:space="preserve"> Index</w:t>
      </w:r>
      <w:r w:rsidRPr="000A0093">
        <w:rPr>
          <w:bCs/>
        </w:rPr>
        <w:t xml:space="preserve"> (VIX), indicador de volatilidade do índice S&amp;P500; </w:t>
      </w:r>
      <w:proofErr w:type="spellStart"/>
      <w:proofErr w:type="gramStart"/>
      <w:r w:rsidR="00630FB1">
        <w:rPr>
          <w:bCs/>
        </w:rPr>
        <w:t>ii</w:t>
      </w:r>
      <w:proofErr w:type="spellEnd"/>
      <w:proofErr w:type="gramEnd"/>
      <w:r w:rsidR="00630FB1" w:rsidRPr="000A0093">
        <w:rPr>
          <w:bCs/>
        </w:rPr>
        <w:t>) índice Dow Jones (</w:t>
      </w:r>
      <w:r w:rsidR="00630FB1" w:rsidRPr="000A0093">
        <w:rPr>
          <w:bCs/>
          <w:i/>
        </w:rPr>
        <w:t xml:space="preserve">Dow Jones Industrial </w:t>
      </w:r>
      <w:proofErr w:type="spellStart"/>
      <w:r w:rsidR="00630FB1" w:rsidRPr="000A0093">
        <w:rPr>
          <w:bCs/>
          <w:i/>
        </w:rPr>
        <w:t>Average</w:t>
      </w:r>
      <w:proofErr w:type="spellEnd"/>
      <w:r w:rsidR="00630FB1" w:rsidRPr="000A0093">
        <w:rPr>
          <w:bCs/>
        </w:rPr>
        <w:t xml:space="preserve">) como </w:t>
      </w:r>
      <w:r w:rsidR="00630FB1" w:rsidRPr="000A0093">
        <w:rPr>
          <w:bCs/>
          <w:i/>
        </w:rPr>
        <w:t>proxy</w:t>
      </w:r>
      <w:r w:rsidR="00630FB1" w:rsidRPr="000A0093">
        <w:rPr>
          <w:bCs/>
        </w:rPr>
        <w:t xml:space="preserve"> para a performance do mercado internacional de ações. </w:t>
      </w:r>
      <w:proofErr w:type="spellStart"/>
      <w:r w:rsidR="00630FB1">
        <w:rPr>
          <w:bCs/>
        </w:rPr>
        <w:t>i</w:t>
      </w:r>
      <w:r w:rsidR="00535622" w:rsidRPr="000A0093">
        <w:rPr>
          <w:bCs/>
        </w:rPr>
        <w:t>ii</w:t>
      </w:r>
      <w:proofErr w:type="spellEnd"/>
      <w:r w:rsidR="00535622" w:rsidRPr="000A0093">
        <w:rPr>
          <w:bCs/>
        </w:rPr>
        <w:t xml:space="preserve">) </w:t>
      </w:r>
      <w:r w:rsidRPr="000A0093">
        <w:rPr>
          <w:bCs/>
        </w:rPr>
        <w:t xml:space="preserve">taxa de crescimento do PIB mundial em termos percentuais a preços de 2005; </w:t>
      </w:r>
      <w:r w:rsidR="00873CA5">
        <w:rPr>
          <w:bCs/>
        </w:rPr>
        <w:t xml:space="preserve">e </w:t>
      </w:r>
      <w:proofErr w:type="spellStart"/>
      <w:r w:rsidR="00630FB1">
        <w:rPr>
          <w:bCs/>
        </w:rPr>
        <w:t>iv</w:t>
      </w:r>
      <w:proofErr w:type="spellEnd"/>
      <w:r w:rsidR="00535622" w:rsidRPr="000A0093">
        <w:rPr>
          <w:bCs/>
        </w:rPr>
        <w:t>)</w:t>
      </w:r>
      <w:r w:rsidR="00D00804" w:rsidRPr="000A0093">
        <w:rPr>
          <w:bCs/>
        </w:rPr>
        <w:t xml:space="preserve"> </w:t>
      </w:r>
      <w:r w:rsidRPr="000A0093">
        <w:rPr>
          <w:bCs/>
        </w:rPr>
        <w:t>taxa básica de juros dos Estados Unidos (</w:t>
      </w:r>
      <w:r w:rsidRPr="000A0093">
        <w:rPr>
          <w:bCs/>
          <w:i/>
        </w:rPr>
        <w:t xml:space="preserve">Federal </w:t>
      </w:r>
      <w:proofErr w:type="spellStart"/>
      <w:r w:rsidRPr="000A0093">
        <w:rPr>
          <w:bCs/>
          <w:i/>
        </w:rPr>
        <w:t>Fund</w:t>
      </w:r>
      <w:proofErr w:type="spellEnd"/>
      <w:r w:rsidRPr="000A0093">
        <w:rPr>
          <w:bCs/>
          <w:i/>
        </w:rPr>
        <w:t xml:space="preserve"> Rate</w:t>
      </w:r>
      <w:r w:rsidR="00630FB1">
        <w:rPr>
          <w:bCs/>
        </w:rPr>
        <w:t>)</w:t>
      </w:r>
      <w:r w:rsidRPr="000A0093">
        <w:rPr>
          <w:bCs/>
        </w:rPr>
        <w:t xml:space="preserve"> como </w:t>
      </w:r>
      <w:proofErr w:type="gramStart"/>
      <w:r w:rsidRPr="000A0093">
        <w:rPr>
          <w:bCs/>
          <w:i/>
        </w:rPr>
        <w:t>proxy</w:t>
      </w:r>
      <w:proofErr w:type="gramEnd"/>
      <w:r w:rsidRPr="000A0093">
        <w:rPr>
          <w:bCs/>
        </w:rPr>
        <w:t xml:space="preserve"> para taxa de juros de referência externa</w:t>
      </w:r>
      <w:r w:rsidR="00F82DEF">
        <w:rPr>
          <w:bCs/>
        </w:rPr>
        <w:t xml:space="preserve">. </w:t>
      </w:r>
      <w:r w:rsidRPr="000A0093">
        <w:rPr>
          <w:bCs/>
        </w:rPr>
        <w:t xml:space="preserve">Já os </w:t>
      </w:r>
      <w:r w:rsidR="0017173B" w:rsidRPr="000A0093">
        <w:rPr>
          <w:bCs/>
        </w:rPr>
        <w:t xml:space="preserve">fatores </w:t>
      </w:r>
      <w:r w:rsidRPr="000A0093">
        <w:rPr>
          <w:bCs/>
        </w:rPr>
        <w:t xml:space="preserve">internos adotados foram: </w:t>
      </w:r>
      <w:r w:rsidR="0017173B" w:rsidRPr="000A0093">
        <w:rPr>
          <w:bCs/>
        </w:rPr>
        <w:t>i)</w:t>
      </w:r>
      <w:r w:rsidR="00A9078B">
        <w:rPr>
          <w:bCs/>
        </w:rPr>
        <w:t xml:space="preserve"> </w:t>
      </w:r>
      <w:r w:rsidRPr="000A0093">
        <w:rPr>
          <w:bCs/>
        </w:rPr>
        <w:t xml:space="preserve">taxa de juros dos depósitos dos respectivos países, como </w:t>
      </w:r>
      <w:proofErr w:type="gramStart"/>
      <w:r w:rsidRPr="000A0093">
        <w:rPr>
          <w:bCs/>
          <w:i/>
        </w:rPr>
        <w:t>proxy</w:t>
      </w:r>
      <w:proofErr w:type="gramEnd"/>
      <w:r w:rsidRPr="000A0093">
        <w:rPr>
          <w:bCs/>
        </w:rPr>
        <w:t xml:space="preserve"> para taxa de juros interna; </w:t>
      </w:r>
      <w:proofErr w:type="spellStart"/>
      <w:r w:rsidR="0017173B" w:rsidRPr="000A0093">
        <w:rPr>
          <w:bCs/>
        </w:rPr>
        <w:t>ii</w:t>
      </w:r>
      <w:proofErr w:type="spellEnd"/>
      <w:r w:rsidR="0017173B" w:rsidRPr="000A0093">
        <w:rPr>
          <w:bCs/>
        </w:rPr>
        <w:t>)</w:t>
      </w:r>
      <w:r w:rsidRPr="000A0093">
        <w:rPr>
          <w:bCs/>
        </w:rPr>
        <w:t xml:space="preserve"> taxa de câmbio </w:t>
      </w:r>
      <w:r w:rsidR="00A9078B">
        <w:rPr>
          <w:bCs/>
        </w:rPr>
        <w:t xml:space="preserve">corrente </w:t>
      </w:r>
      <w:r w:rsidRPr="000A0093">
        <w:rPr>
          <w:bCs/>
        </w:rPr>
        <w:t xml:space="preserve">como </w:t>
      </w:r>
      <w:r w:rsidRPr="000A0093">
        <w:rPr>
          <w:bCs/>
          <w:i/>
        </w:rPr>
        <w:t>proxy</w:t>
      </w:r>
      <w:r w:rsidRPr="000A0093">
        <w:rPr>
          <w:bCs/>
        </w:rPr>
        <w:t xml:space="preserve"> para taxa de câmbio </w:t>
      </w:r>
      <w:r w:rsidRPr="000A0093">
        <w:rPr>
          <w:bCs/>
        </w:rPr>
        <w:lastRenderedPageBreak/>
        <w:t xml:space="preserve">esperada; </w:t>
      </w:r>
      <w:proofErr w:type="spellStart"/>
      <w:r w:rsidR="0017173B" w:rsidRPr="000A0093">
        <w:rPr>
          <w:bCs/>
        </w:rPr>
        <w:t>iii</w:t>
      </w:r>
      <w:proofErr w:type="spellEnd"/>
      <w:r w:rsidR="0017173B" w:rsidRPr="000A0093">
        <w:rPr>
          <w:bCs/>
        </w:rPr>
        <w:t xml:space="preserve">) </w:t>
      </w:r>
      <w:r w:rsidRPr="000A0093">
        <w:rPr>
          <w:bCs/>
        </w:rPr>
        <w:t xml:space="preserve">produto interno bruto a preços constantes; </w:t>
      </w:r>
      <w:proofErr w:type="spellStart"/>
      <w:r w:rsidR="009C34E4">
        <w:rPr>
          <w:bCs/>
        </w:rPr>
        <w:t>i</w:t>
      </w:r>
      <w:r w:rsidR="0017173B" w:rsidRPr="000A0093">
        <w:rPr>
          <w:bCs/>
        </w:rPr>
        <w:t>v</w:t>
      </w:r>
      <w:proofErr w:type="spellEnd"/>
      <w:r w:rsidR="0017173B" w:rsidRPr="000A0093">
        <w:rPr>
          <w:bCs/>
        </w:rPr>
        <w:t>)</w:t>
      </w:r>
      <w:r w:rsidRPr="000A0093">
        <w:rPr>
          <w:bCs/>
        </w:rPr>
        <w:t xml:space="preserve"> saldo em transações correntes sobre o PIB; </w:t>
      </w:r>
      <w:r w:rsidR="009C34E4">
        <w:rPr>
          <w:bCs/>
        </w:rPr>
        <w:t>e v</w:t>
      </w:r>
      <w:r w:rsidR="0017173B" w:rsidRPr="000A0093">
        <w:rPr>
          <w:bCs/>
        </w:rPr>
        <w:t xml:space="preserve">) </w:t>
      </w:r>
      <w:r w:rsidRPr="000A0093">
        <w:rPr>
          <w:bCs/>
        </w:rPr>
        <w:t>reservas totais sobre  dívida externa</w:t>
      </w:r>
      <w:r w:rsidR="009C34E4">
        <w:rPr>
          <w:bCs/>
        </w:rPr>
        <w:t>.</w:t>
      </w:r>
      <w:r w:rsidRPr="000A0093">
        <w:rPr>
          <w:bCs/>
        </w:rPr>
        <w:t xml:space="preserve"> </w:t>
      </w:r>
    </w:p>
    <w:p w14:paraId="531EB730" w14:textId="4A90FEA1" w:rsidR="00367569" w:rsidRPr="000A0093" w:rsidRDefault="00367569" w:rsidP="00FC2664">
      <w:pPr>
        <w:autoSpaceDE w:val="0"/>
        <w:spacing w:line="480" w:lineRule="auto"/>
        <w:ind w:firstLine="851"/>
      </w:pPr>
      <w:r w:rsidRPr="000A0093">
        <w:t>Todas as variáveis são anuais</w:t>
      </w:r>
      <w:r w:rsidRPr="000A0093">
        <w:rPr>
          <w:vertAlign w:val="superscript"/>
        </w:rPr>
        <w:footnoteReference w:id="8"/>
      </w:r>
      <w:r w:rsidR="00A52ED0">
        <w:t xml:space="preserve"> e, a</w:t>
      </w:r>
      <w:r w:rsidR="00A52ED0">
        <w:rPr>
          <w:bCs/>
        </w:rPr>
        <w:t xml:space="preserve"> fim d</w:t>
      </w:r>
      <w:r w:rsidR="00A52ED0" w:rsidRPr="000A0093">
        <w:rPr>
          <w:bCs/>
        </w:rPr>
        <w:t xml:space="preserve">e reduzir a dispersão da amostra e dos erros, </w:t>
      </w:r>
      <w:r w:rsidR="009C34E4">
        <w:rPr>
          <w:bCs/>
        </w:rPr>
        <w:t>elas</w:t>
      </w:r>
      <w:r w:rsidR="00A52ED0" w:rsidRPr="000A0093">
        <w:rPr>
          <w:bCs/>
        </w:rPr>
        <w:t xml:space="preserve"> foram </w:t>
      </w:r>
      <w:r w:rsidR="00A52ED0">
        <w:rPr>
          <w:bCs/>
        </w:rPr>
        <w:t>normalizadas</w:t>
      </w:r>
      <w:r w:rsidR="00A52ED0" w:rsidRPr="000A0093">
        <w:rPr>
          <w:bCs/>
          <w:vertAlign w:val="superscript"/>
        </w:rPr>
        <w:footnoteReference w:id="9"/>
      </w:r>
      <w:r w:rsidR="00A52ED0" w:rsidRPr="000A0093">
        <w:rPr>
          <w:bCs/>
        </w:rPr>
        <w:t>.</w:t>
      </w:r>
      <w:r w:rsidR="00A52ED0">
        <w:t xml:space="preserve"> O</w:t>
      </w:r>
      <w:r w:rsidRPr="000A0093">
        <w:t xml:space="preserve">s símbolos das variáveis e os dados sobre a fonte e o sinal esperado </w:t>
      </w:r>
      <w:r w:rsidR="0017173B" w:rsidRPr="000A0093">
        <w:t>s</w:t>
      </w:r>
      <w:r w:rsidRPr="000A0093">
        <w:t xml:space="preserve">ão apresentados no Quadro </w:t>
      </w:r>
      <w:proofErr w:type="gramStart"/>
      <w:r w:rsidR="007E010D" w:rsidRPr="000A0093">
        <w:t>2</w:t>
      </w:r>
      <w:proofErr w:type="gramEnd"/>
      <w:r w:rsidRPr="000A0093">
        <w:t>.</w:t>
      </w:r>
    </w:p>
    <w:p w14:paraId="5C668C58" w14:textId="77777777" w:rsidR="00367569" w:rsidRPr="000A0093" w:rsidRDefault="007E010D" w:rsidP="00F82B07">
      <w:pPr>
        <w:spacing w:line="240" w:lineRule="auto"/>
        <w:rPr>
          <w:b/>
        </w:rPr>
      </w:pPr>
      <w:r w:rsidRPr="000A0093">
        <w:rPr>
          <w:b/>
        </w:rPr>
        <w:t xml:space="preserve">Quadro2 </w:t>
      </w:r>
      <w:r w:rsidR="00367569" w:rsidRPr="000A0093">
        <w:rPr>
          <w:b/>
        </w:rPr>
        <w:t>– Fonte de dados e sinal esperado.</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2966"/>
        <w:gridCol w:w="1766"/>
        <w:gridCol w:w="2018"/>
        <w:gridCol w:w="952"/>
      </w:tblGrid>
      <w:tr w:rsidR="000A0093" w:rsidRPr="0019600B" w14:paraId="4763A1C4" w14:textId="77777777" w:rsidTr="00A942B6">
        <w:trPr>
          <w:trHeight w:val="330"/>
          <w:jc w:val="center"/>
        </w:trPr>
        <w:tc>
          <w:tcPr>
            <w:tcW w:w="1428" w:type="dxa"/>
            <w:shd w:val="clear" w:color="auto" w:fill="auto"/>
            <w:noWrap/>
            <w:vAlign w:val="center"/>
          </w:tcPr>
          <w:p w14:paraId="6522F8FD" w14:textId="77777777" w:rsidR="00367569" w:rsidRPr="0019600B" w:rsidRDefault="00367569" w:rsidP="00F82B07">
            <w:pPr>
              <w:spacing w:line="240" w:lineRule="auto"/>
              <w:jc w:val="center"/>
              <w:rPr>
                <w:b/>
                <w:sz w:val="20"/>
                <w:szCs w:val="20"/>
              </w:rPr>
            </w:pPr>
            <w:r w:rsidRPr="0019600B">
              <w:rPr>
                <w:b/>
                <w:sz w:val="20"/>
                <w:szCs w:val="20"/>
              </w:rPr>
              <w:t>Variável</w:t>
            </w:r>
          </w:p>
        </w:tc>
        <w:tc>
          <w:tcPr>
            <w:tcW w:w="2966" w:type="dxa"/>
            <w:shd w:val="clear" w:color="auto" w:fill="auto"/>
            <w:noWrap/>
            <w:vAlign w:val="center"/>
          </w:tcPr>
          <w:p w14:paraId="09B6E6C4" w14:textId="77777777" w:rsidR="00367569" w:rsidRPr="0019600B" w:rsidRDefault="00367569" w:rsidP="00F82B07">
            <w:pPr>
              <w:spacing w:line="240" w:lineRule="auto"/>
              <w:jc w:val="center"/>
              <w:rPr>
                <w:b/>
                <w:sz w:val="20"/>
                <w:szCs w:val="20"/>
              </w:rPr>
            </w:pPr>
            <w:r w:rsidRPr="0019600B">
              <w:rPr>
                <w:b/>
                <w:sz w:val="20"/>
                <w:szCs w:val="20"/>
              </w:rPr>
              <w:t>Variável por Extenso</w:t>
            </w:r>
          </w:p>
        </w:tc>
        <w:tc>
          <w:tcPr>
            <w:tcW w:w="1766" w:type="dxa"/>
            <w:shd w:val="clear" w:color="auto" w:fill="auto"/>
            <w:noWrap/>
            <w:vAlign w:val="center"/>
          </w:tcPr>
          <w:p w14:paraId="48BFB369" w14:textId="77777777" w:rsidR="00367569" w:rsidRPr="0019600B" w:rsidRDefault="00367569" w:rsidP="00F82B07">
            <w:pPr>
              <w:spacing w:line="240" w:lineRule="auto"/>
              <w:jc w:val="center"/>
              <w:rPr>
                <w:b/>
                <w:sz w:val="20"/>
                <w:szCs w:val="20"/>
              </w:rPr>
            </w:pPr>
            <w:r w:rsidRPr="0019600B">
              <w:rPr>
                <w:b/>
                <w:sz w:val="20"/>
                <w:szCs w:val="20"/>
              </w:rPr>
              <w:t>Fonte</w:t>
            </w:r>
          </w:p>
        </w:tc>
        <w:tc>
          <w:tcPr>
            <w:tcW w:w="2018" w:type="dxa"/>
            <w:vAlign w:val="center"/>
          </w:tcPr>
          <w:p w14:paraId="7D52A48C" w14:textId="77777777" w:rsidR="00367569" w:rsidRPr="0019600B" w:rsidRDefault="00367569" w:rsidP="00F82B07">
            <w:pPr>
              <w:spacing w:line="240" w:lineRule="auto"/>
              <w:jc w:val="center"/>
              <w:rPr>
                <w:b/>
                <w:sz w:val="20"/>
                <w:szCs w:val="20"/>
              </w:rPr>
            </w:pPr>
            <w:r w:rsidRPr="0019600B">
              <w:rPr>
                <w:b/>
                <w:sz w:val="20"/>
                <w:szCs w:val="20"/>
              </w:rPr>
              <w:t>Unidade de medida</w:t>
            </w:r>
          </w:p>
        </w:tc>
        <w:tc>
          <w:tcPr>
            <w:tcW w:w="952" w:type="dxa"/>
            <w:shd w:val="clear" w:color="auto" w:fill="auto"/>
            <w:noWrap/>
            <w:vAlign w:val="center"/>
          </w:tcPr>
          <w:p w14:paraId="667F9428" w14:textId="77777777" w:rsidR="00367569" w:rsidRPr="0019600B" w:rsidRDefault="00367569" w:rsidP="00F82B07">
            <w:pPr>
              <w:spacing w:line="240" w:lineRule="auto"/>
              <w:jc w:val="center"/>
              <w:rPr>
                <w:b/>
                <w:sz w:val="20"/>
                <w:szCs w:val="20"/>
              </w:rPr>
            </w:pPr>
            <w:r w:rsidRPr="0019600B">
              <w:rPr>
                <w:b/>
                <w:sz w:val="20"/>
                <w:szCs w:val="20"/>
              </w:rPr>
              <w:t>Sinal Esperado</w:t>
            </w:r>
          </w:p>
        </w:tc>
      </w:tr>
      <w:tr w:rsidR="000A0093" w:rsidRPr="0019600B" w14:paraId="754BB467" w14:textId="77777777" w:rsidTr="00A942B6">
        <w:trPr>
          <w:trHeight w:val="315"/>
          <w:jc w:val="center"/>
        </w:trPr>
        <w:tc>
          <w:tcPr>
            <w:tcW w:w="1428" w:type="dxa"/>
            <w:shd w:val="clear" w:color="auto" w:fill="auto"/>
            <w:noWrap/>
            <w:vAlign w:val="center"/>
          </w:tcPr>
          <w:p w14:paraId="5441B0DF" w14:textId="77777777" w:rsidR="00367569" w:rsidRPr="0019600B" w:rsidRDefault="00367569" w:rsidP="00F82B07">
            <w:pPr>
              <w:spacing w:line="240" w:lineRule="auto"/>
              <w:jc w:val="center"/>
              <w:rPr>
                <w:b/>
                <w:sz w:val="20"/>
                <w:szCs w:val="20"/>
              </w:rPr>
            </w:pPr>
            <w:proofErr w:type="spellStart"/>
            <w:proofErr w:type="gramStart"/>
            <w:r w:rsidRPr="0019600B">
              <w:rPr>
                <w:b/>
                <w:sz w:val="20"/>
                <w:szCs w:val="20"/>
              </w:rPr>
              <w:t>fdek</w:t>
            </w:r>
            <w:proofErr w:type="spellEnd"/>
            <w:proofErr w:type="gramEnd"/>
          </w:p>
        </w:tc>
        <w:tc>
          <w:tcPr>
            <w:tcW w:w="2966" w:type="dxa"/>
            <w:shd w:val="clear" w:color="auto" w:fill="auto"/>
            <w:noWrap/>
            <w:vAlign w:val="center"/>
          </w:tcPr>
          <w:p w14:paraId="772B3E97" w14:textId="77777777" w:rsidR="00367569" w:rsidRPr="0019600B" w:rsidRDefault="00367569" w:rsidP="00F82B07">
            <w:pPr>
              <w:spacing w:line="240" w:lineRule="auto"/>
              <w:jc w:val="center"/>
              <w:rPr>
                <w:sz w:val="20"/>
                <w:szCs w:val="20"/>
              </w:rPr>
            </w:pPr>
            <w:r w:rsidRPr="0019600B">
              <w:rPr>
                <w:sz w:val="20"/>
                <w:szCs w:val="20"/>
              </w:rPr>
              <w:t>Fluxos de capitais não produtivos</w:t>
            </w:r>
          </w:p>
          <w:p w14:paraId="510D100E" w14:textId="77777777" w:rsidR="00367569" w:rsidRPr="0019600B" w:rsidRDefault="00367569" w:rsidP="00F82B07">
            <w:pPr>
              <w:spacing w:line="240" w:lineRule="auto"/>
              <w:jc w:val="center"/>
              <w:rPr>
                <w:sz w:val="20"/>
                <w:szCs w:val="20"/>
              </w:rPr>
            </w:pPr>
          </w:p>
        </w:tc>
        <w:tc>
          <w:tcPr>
            <w:tcW w:w="1766" w:type="dxa"/>
            <w:shd w:val="clear" w:color="auto" w:fill="auto"/>
            <w:noWrap/>
            <w:vAlign w:val="center"/>
          </w:tcPr>
          <w:p w14:paraId="7D2DC3D2" w14:textId="77777777" w:rsidR="00367569" w:rsidRPr="0019600B" w:rsidRDefault="00367569" w:rsidP="00F82B07">
            <w:pPr>
              <w:spacing w:line="240" w:lineRule="auto"/>
              <w:jc w:val="center"/>
              <w:rPr>
                <w:sz w:val="20"/>
                <w:szCs w:val="20"/>
              </w:rPr>
            </w:pPr>
            <w:r w:rsidRPr="0019600B">
              <w:rPr>
                <w:sz w:val="20"/>
                <w:szCs w:val="20"/>
              </w:rPr>
              <w:t>IFS/IMF</w:t>
            </w:r>
            <w:r w:rsidRPr="0019600B">
              <w:rPr>
                <w:sz w:val="20"/>
                <w:szCs w:val="20"/>
                <w:vertAlign w:val="superscript"/>
              </w:rPr>
              <w:t>1</w:t>
            </w:r>
          </w:p>
        </w:tc>
        <w:tc>
          <w:tcPr>
            <w:tcW w:w="2018" w:type="dxa"/>
            <w:vAlign w:val="center"/>
          </w:tcPr>
          <w:p w14:paraId="5FBE4E37" w14:textId="77777777" w:rsidR="00367569" w:rsidRPr="0019600B" w:rsidRDefault="00367569" w:rsidP="00F82B07">
            <w:pPr>
              <w:spacing w:line="240" w:lineRule="auto"/>
              <w:jc w:val="center"/>
              <w:rPr>
                <w:sz w:val="20"/>
                <w:szCs w:val="20"/>
              </w:rPr>
            </w:pPr>
            <w:r w:rsidRPr="0019600B">
              <w:rPr>
                <w:sz w:val="20"/>
                <w:szCs w:val="20"/>
              </w:rPr>
              <w:t>US$ milhões corrente</w:t>
            </w:r>
          </w:p>
        </w:tc>
        <w:tc>
          <w:tcPr>
            <w:tcW w:w="952" w:type="dxa"/>
            <w:shd w:val="clear" w:color="auto" w:fill="auto"/>
            <w:noWrap/>
            <w:vAlign w:val="center"/>
          </w:tcPr>
          <w:p w14:paraId="22CB88CC" w14:textId="77777777" w:rsidR="00367569" w:rsidRPr="0019600B" w:rsidRDefault="00367569" w:rsidP="00F82B07">
            <w:pPr>
              <w:spacing w:line="240" w:lineRule="auto"/>
              <w:jc w:val="center"/>
              <w:rPr>
                <w:sz w:val="20"/>
                <w:szCs w:val="20"/>
              </w:rPr>
            </w:pPr>
          </w:p>
        </w:tc>
      </w:tr>
      <w:tr w:rsidR="000A0093" w:rsidRPr="0019600B" w14:paraId="259C9731" w14:textId="77777777" w:rsidTr="00A942B6">
        <w:trPr>
          <w:trHeight w:val="315"/>
          <w:jc w:val="center"/>
        </w:trPr>
        <w:tc>
          <w:tcPr>
            <w:tcW w:w="1428" w:type="dxa"/>
            <w:shd w:val="clear" w:color="auto" w:fill="auto"/>
            <w:noWrap/>
            <w:vAlign w:val="center"/>
          </w:tcPr>
          <w:p w14:paraId="7454B964" w14:textId="77777777" w:rsidR="00367569" w:rsidRPr="0019600B" w:rsidRDefault="00367569" w:rsidP="00F82B07">
            <w:pPr>
              <w:spacing w:line="240" w:lineRule="auto"/>
              <w:jc w:val="center"/>
              <w:rPr>
                <w:b/>
                <w:sz w:val="20"/>
                <w:szCs w:val="20"/>
              </w:rPr>
            </w:pPr>
            <w:proofErr w:type="spellStart"/>
            <w:proofErr w:type="gramStart"/>
            <w:r w:rsidRPr="0019600B">
              <w:rPr>
                <w:b/>
                <w:sz w:val="20"/>
                <w:szCs w:val="20"/>
              </w:rPr>
              <w:t>vix</w:t>
            </w:r>
            <w:proofErr w:type="spellEnd"/>
            <w:proofErr w:type="gramEnd"/>
          </w:p>
        </w:tc>
        <w:tc>
          <w:tcPr>
            <w:tcW w:w="2966" w:type="dxa"/>
            <w:shd w:val="clear" w:color="auto" w:fill="auto"/>
            <w:noWrap/>
            <w:vAlign w:val="center"/>
          </w:tcPr>
          <w:p w14:paraId="715939C5" w14:textId="77777777" w:rsidR="00367569" w:rsidRPr="0019600B" w:rsidRDefault="00367569" w:rsidP="00F82B07">
            <w:pPr>
              <w:spacing w:line="240" w:lineRule="auto"/>
              <w:jc w:val="center"/>
              <w:rPr>
                <w:bCs/>
                <w:sz w:val="20"/>
                <w:szCs w:val="20"/>
                <w:lang w:val="en-US"/>
              </w:rPr>
            </w:pPr>
            <w:r w:rsidRPr="0019600B">
              <w:rPr>
                <w:bCs/>
                <w:sz w:val="20"/>
                <w:szCs w:val="20"/>
                <w:lang w:val="en-US"/>
              </w:rPr>
              <w:t>Chicago Board Options Exchange</w:t>
            </w:r>
          </w:p>
          <w:p w14:paraId="070A31EE" w14:textId="77777777" w:rsidR="00367569" w:rsidRPr="0019600B" w:rsidRDefault="00367569" w:rsidP="00F82B07">
            <w:pPr>
              <w:spacing w:line="240" w:lineRule="auto"/>
              <w:jc w:val="center"/>
              <w:rPr>
                <w:bCs/>
                <w:sz w:val="20"/>
                <w:szCs w:val="20"/>
                <w:lang w:val="en-US"/>
              </w:rPr>
            </w:pPr>
            <w:r w:rsidRPr="0019600B">
              <w:rPr>
                <w:bCs/>
                <w:sz w:val="20"/>
                <w:szCs w:val="20"/>
                <w:lang w:val="en-US"/>
              </w:rPr>
              <w:t>Market Volatility Index</w:t>
            </w:r>
          </w:p>
        </w:tc>
        <w:tc>
          <w:tcPr>
            <w:tcW w:w="1766" w:type="dxa"/>
            <w:shd w:val="clear" w:color="auto" w:fill="auto"/>
            <w:noWrap/>
            <w:vAlign w:val="center"/>
          </w:tcPr>
          <w:p w14:paraId="2D2A3893" w14:textId="77777777" w:rsidR="00367569" w:rsidRPr="0019600B" w:rsidRDefault="00367569" w:rsidP="00F82B07">
            <w:pPr>
              <w:spacing w:line="240" w:lineRule="auto"/>
              <w:jc w:val="center"/>
              <w:rPr>
                <w:sz w:val="20"/>
                <w:szCs w:val="20"/>
                <w:lang w:val="en-US"/>
              </w:rPr>
            </w:pPr>
            <w:r w:rsidRPr="0019600B">
              <w:rPr>
                <w:sz w:val="20"/>
                <w:szCs w:val="20"/>
                <w:lang w:val="en-US"/>
              </w:rPr>
              <w:t>CBOE</w:t>
            </w:r>
            <w:r w:rsidRPr="0019600B">
              <w:rPr>
                <w:sz w:val="20"/>
                <w:szCs w:val="20"/>
                <w:vertAlign w:val="superscript"/>
                <w:lang w:val="en-US"/>
              </w:rPr>
              <w:t>2</w:t>
            </w:r>
          </w:p>
        </w:tc>
        <w:tc>
          <w:tcPr>
            <w:tcW w:w="2018" w:type="dxa"/>
            <w:vAlign w:val="center"/>
          </w:tcPr>
          <w:p w14:paraId="47C93352" w14:textId="77777777" w:rsidR="00367569" w:rsidRPr="0019600B" w:rsidRDefault="00367569" w:rsidP="00F82B07">
            <w:pPr>
              <w:spacing w:line="240" w:lineRule="auto"/>
              <w:jc w:val="center"/>
              <w:rPr>
                <w:sz w:val="20"/>
                <w:szCs w:val="20"/>
                <w:lang w:val="en-US"/>
              </w:rPr>
            </w:pPr>
            <w:proofErr w:type="spellStart"/>
            <w:r w:rsidRPr="0019600B">
              <w:rPr>
                <w:sz w:val="20"/>
                <w:szCs w:val="20"/>
                <w:lang w:val="en-US"/>
              </w:rPr>
              <w:t>Índice</w:t>
            </w:r>
            <w:proofErr w:type="spellEnd"/>
            <w:r w:rsidRPr="0019600B">
              <w:rPr>
                <w:sz w:val="20"/>
                <w:szCs w:val="20"/>
                <w:lang w:val="en-US"/>
              </w:rPr>
              <w:t xml:space="preserve"> – </w:t>
            </w:r>
            <w:proofErr w:type="spellStart"/>
            <w:r w:rsidRPr="0019600B">
              <w:rPr>
                <w:sz w:val="20"/>
                <w:szCs w:val="20"/>
                <w:lang w:val="en-US"/>
              </w:rPr>
              <w:t>valores</w:t>
            </w:r>
            <w:proofErr w:type="spellEnd"/>
            <w:r w:rsidRPr="0019600B">
              <w:rPr>
                <w:sz w:val="20"/>
                <w:szCs w:val="20"/>
                <w:lang w:val="en-US"/>
              </w:rPr>
              <w:t xml:space="preserve"> </w:t>
            </w:r>
            <w:proofErr w:type="spellStart"/>
            <w:r w:rsidRPr="0019600B">
              <w:rPr>
                <w:sz w:val="20"/>
                <w:szCs w:val="20"/>
                <w:lang w:val="en-US"/>
              </w:rPr>
              <w:t>unitários</w:t>
            </w:r>
            <w:proofErr w:type="spellEnd"/>
          </w:p>
        </w:tc>
        <w:tc>
          <w:tcPr>
            <w:tcW w:w="952" w:type="dxa"/>
            <w:shd w:val="clear" w:color="auto" w:fill="auto"/>
            <w:noWrap/>
            <w:vAlign w:val="center"/>
          </w:tcPr>
          <w:p w14:paraId="0CC2BB6A" w14:textId="77777777" w:rsidR="00367569" w:rsidRPr="0019600B" w:rsidRDefault="00367569" w:rsidP="00F82B07">
            <w:pPr>
              <w:spacing w:line="240" w:lineRule="auto"/>
              <w:jc w:val="center"/>
              <w:rPr>
                <w:sz w:val="20"/>
                <w:szCs w:val="20"/>
                <w:lang w:val="en-US"/>
              </w:rPr>
            </w:pPr>
            <w:r w:rsidRPr="0019600B">
              <w:rPr>
                <w:sz w:val="20"/>
                <w:szCs w:val="20"/>
                <w:lang w:val="en-US"/>
              </w:rPr>
              <w:t>-</w:t>
            </w:r>
          </w:p>
        </w:tc>
      </w:tr>
      <w:tr w:rsidR="000A0093" w:rsidRPr="0019600B" w14:paraId="3FC72A63" w14:textId="77777777" w:rsidTr="00A942B6">
        <w:trPr>
          <w:trHeight w:val="315"/>
          <w:jc w:val="center"/>
        </w:trPr>
        <w:tc>
          <w:tcPr>
            <w:tcW w:w="1428" w:type="dxa"/>
            <w:shd w:val="clear" w:color="auto" w:fill="auto"/>
            <w:noWrap/>
            <w:vAlign w:val="center"/>
          </w:tcPr>
          <w:p w14:paraId="036109CC" w14:textId="77777777" w:rsidR="00367569" w:rsidRPr="0019600B" w:rsidRDefault="00367569" w:rsidP="00F82B07">
            <w:pPr>
              <w:spacing w:line="240" w:lineRule="auto"/>
              <w:jc w:val="center"/>
              <w:rPr>
                <w:b/>
                <w:sz w:val="20"/>
                <w:szCs w:val="20"/>
              </w:rPr>
            </w:pPr>
            <w:proofErr w:type="spellStart"/>
            <w:proofErr w:type="gramStart"/>
            <w:r w:rsidRPr="0019600B">
              <w:rPr>
                <w:b/>
                <w:sz w:val="20"/>
                <w:szCs w:val="20"/>
              </w:rPr>
              <w:t>pibmp</w:t>
            </w:r>
            <w:proofErr w:type="spellEnd"/>
            <w:proofErr w:type="gramEnd"/>
          </w:p>
        </w:tc>
        <w:tc>
          <w:tcPr>
            <w:tcW w:w="2966" w:type="dxa"/>
            <w:shd w:val="clear" w:color="auto" w:fill="auto"/>
            <w:noWrap/>
            <w:vAlign w:val="center"/>
          </w:tcPr>
          <w:p w14:paraId="3CC1862A" w14:textId="77777777" w:rsidR="00367569" w:rsidRPr="0019600B" w:rsidRDefault="00367569" w:rsidP="00F82B07">
            <w:pPr>
              <w:spacing w:line="240" w:lineRule="auto"/>
              <w:jc w:val="center"/>
              <w:rPr>
                <w:bCs/>
                <w:sz w:val="20"/>
                <w:szCs w:val="20"/>
              </w:rPr>
            </w:pPr>
            <w:r w:rsidRPr="0019600B">
              <w:rPr>
                <w:bCs/>
                <w:sz w:val="20"/>
                <w:szCs w:val="20"/>
              </w:rPr>
              <w:t>Produto interno bruto mundial a preços constantes</w:t>
            </w:r>
          </w:p>
        </w:tc>
        <w:tc>
          <w:tcPr>
            <w:tcW w:w="1766" w:type="dxa"/>
            <w:shd w:val="clear" w:color="auto" w:fill="auto"/>
            <w:noWrap/>
            <w:vAlign w:val="center"/>
          </w:tcPr>
          <w:p w14:paraId="6744D5CB" w14:textId="77777777" w:rsidR="00367569" w:rsidRPr="0019600B" w:rsidRDefault="00367569" w:rsidP="00F82B07">
            <w:pPr>
              <w:spacing w:line="240" w:lineRule="auto"/>
              <w:jc w:val="center"/>
              <w:rPr>
                <w:sz w:val="20"/>
                <w:szCs w:val="20"/>
              </w:rPr>
            </w:pPr>
            <w:r w:rsidRPr="0019600B">
              <w:rPr>
                <w:sz w:val="20"/>
                <w:szCs w:val="20"/>
              </w:rPr>
              <w:t>WEOD/IMF</w:t>
            </w:r>
            <w:r w:rsidRPr="0019600B">
              <w:rPr>
                <w:sz w:val="20"/>
                <w:szCs w:val="20"/>
                <w:vertAlign w:val="superscript"/>
              </w:rPr>
              <w:t>3</w:t>
            </w:r>
          </w:p>
        </w:tc>
        <w:tc>
          <w:tcPr>
            <w:tcW w:w="2018" w:type="dxa"/>
            <w:vAlign w:val="center"/>
          </w:tcPr>
          <w:p w14:paraId="56CAB319" w14:textId="77777777" w:rsidR="00367569" w:rsidRPr="0019600B" w:rsidRDefault="00367569"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945A491" w14:textId="77777777" w:rsidR="00367569" w:rsidRPr="0019600B" w:rsidRDefault="00367569" w:rsidP="00F82B07">
            <w:pPr>
              <w:spacing w:line="240" w:lineRule="auto"/>
              <w:jc w:val="center"/>
              <w:rPr>
                <w:sz w:val="20"/>
                <w:szCs w:val="20"/>
              </w:rPr>
            </w:pPr>
            <w:r w:rsidRPr="0019600B">
              <w:rPr>
                <w:sz w:val="20"/>
                <w:szCs w:val="20"/>
              </w:rPr>
              <w:t>+</w:t>
            </w:r>
          </w:p>
        </w:tc>
      </w:tr>
      <w:tr w:rsidR="005477F1" w:rsidRPr="0019600B" w14:paraId="78CC00FF" w14:textId="77777777" w:rsidTr="00A942B6">
        <w:trPr>
          <w:trHeight w:val="315"/>
          <w:jc w:val="center"/>
        </w:trPr>
        <w:tc>
          <w:tcPr>
            <w:tcW w:w="1428" w:type="dxa"/>
            <w:shd w:val="clear" w:color="auto" w:fill="auto"/>
            <w:noWrap/>
            <w:vAlign w:val="center"/>
          </w:tcPr>
          <w:p w14:paraId="56B1FE64" w14:textId="77777777" w:rsidR="005477F1" w:rsidRPr="0019600B" w:rsidRDefault="005477F1" w:rsidP="00F82B07">
            <w:pPr>
              <w:spacing w:line="240" w:lineRule="auto"/>
              <w:jc w:val="center"/>
              <w:rPr>
                <w:b/>
                <w:sz w:val="20"/>
                <w:szCs w:val="20"/>
              </w:rPr>
            </w:pPr>
            <w:proofErr w:type="spellStart"/>
            <w:proofErr w:type="gramStart"/>
            <w:r w:rsidRPr="0019600B">
              <w:rPr>
                <w:b/>
                <w:sz w:val="20"/>
                <w:szCs w:val="20"/>
              </w:rPr>
              <w:t>dowjones</w:t>
            </w:r>
            <w:proofErr w:type="spellEnd"/>
            <w:proofErr w:type="gramEnd"/>
          </w:p>
        </w:tc>
        <w:tc>
          <w:tcPr>
            <w:tcW w:w="2966" w:type="dxa"/>
            <w:shd w:val="clear" w:color="auto" w:fill="auto"/>
            <w:noWrap/>
            <w:vAlign w:val="center"/>
          </w:tcPr>
          <w:p w14:paraId="057927C9" w14:textId="77777777" w:rsidR="005477F1" w:rsidRPr="0019600B" w:rsidRDefault="005477F1" w:rsidP="00F82B07">
            <w:pPr>
              <w:spacing w:line="240" w:lineRule="auto"/>
              <w:jc w:val="center"/>
              <w:rPr>
                <w:bCs/>
                <w:sz w:val="20"/>
                <w:szCs w:val="20"/>
                <w:u w:val="double"/>
              </w:rPr>
            </w:pPr>
            <w:r w:rsidRPr="0019600B">
              <w:rPr>
                <w:bCs/>
                <w:sz w:val="20"/>
                <w:szCs w:val="20"/>
              </w:rPr>
              <w:t xml:space="preserve">Índice </w:t>
            </w:r>
            <w:r w:rsidRPr="0019600B">
              <w:rPr>
                <w:bCs/>
                <w:sz w:val="20"/>
                <w:szCs w:val="20"/>
                <w:u w:val="double"/>
              </w:rPr>
              <w:t>Dow Jones</w:t>
            </w:r>
          </w:p>
        </w:tc>
        <w:tc>
          <w:tcPr>
            <w:tcW w:w="1766" w:type="dxa"/>
            <w:shd w:val="clear" w:color="auto" w:fill="auto"/>
            <w:noWrap/>
            <w:vAlign w:val="center"/>
          </w:tcPr>
          <w:p w14:paraId="13F7FB40" w14:textId="77777777" w:rsidR="005477F1" w:rsidRPr="0019600B" w:rsidRDefault="005477F1" w:rsidP="00F82B07">
            <w:pPr>
              <w:spacing w:line="240" w:lineRule="auto"/>
              <w:jc w:val="center"/>
              <w:rPr>
                <w:sz w:val="20"/>
                <w:szCs w:val="20"/>
              </w:rPr>
            </w:pPr>
            <w:r w:rsidRPr="0019600B">
              <w:rPr>
                <w:sz w:val="20"/>
                <w:szCs w:val="20"/>
              </w:rPr>
              <w:t>Federal Reserve – BSL</w:t>
            </w:r>
            <w:r w:rsidRPr="0019600B">
              <w:rPr>
                <w:sz w:val="20"/>
                <w:szCs w:val="20"/>
                <w:vertAlign w:val="superscript"/>
              </w:rPr>
              <w:t>4</w:t>
            </w:r>
          </w:p>
        </w:tc>
        <w:tc>
          <w:tcPr>
            <w:tcW w:w="2018" w:type="dxa"/>
            <w:vAlign w:val="center"/>
          </w:tcPr>
          <w:p w14:paraId="2B6E86B1" w14:textId="77777777" w:rsidR="005477F1" w:rsidRPr="0019600B" w:rsidRDefault="005477F1" w:rsidP="00F82B07">
            <w:pPr>
              <w:spacing w:line="240" w:lineRule="auto"/>
              <w:jc w:val="center"/>
              <w:rPr>
                <w:sz w:val="20"/>
                <w:szCs w:val="20"/>
              </w:rPr>
            </w:pPr>
            <w:proofErr w:type="spellStart"/>
            <w:r w:rsidRPr="0019600B">
              <w:rPr>
                <w:sz w:val="20"/>
                <w:szCs w:val="20"/>
                <w:lang w:val="en-US"/>
              </w:rPr>
              <w:t>Índice</w:t>
            </w:r>
            <w:proofErr w:type="spellEnd"/>
            <w:r w:rsidRPr="0019600B">
              <w:rPr>
                <w:sz w:val="20"/>
                <w:szCs w:val="20"/>
                <w:lang w:val="en-US"/>
              </w:rPr>
              <w:t xml:space="preserve"> – </w:t>
            </w:r>
            <w:proofErr w:type="spellStart"/>
            <w:r w:rsidRPr="0019600B">
              <w:rPr>
                <w:sz w:val="20"/>
                <w:szCs w:val="20"/>
                <w:lang w:val="en-US"/>
              </w:rPr>
              <w:t>valores</w:t>
            </w:r>
            <w:proofErr w:type="spellEnd"/>
            <w:r w:rsidRPr="0019600B">
              <w:rPr>
                <w:sz w:val="20"/>
                <w:szCs w:val="20"/>
                <w:lang w:val="en-US"/>
              </w:rPr>
              <w:t xml:space="preserve"> </w:t>
            </w:r>
            <w:proofErr w:type="spellStart"/>
            <w:r w:rsidRPr="0019600B">
              <w:rPr>
                <w:sz w:val="20"/>
                <w:szCs w:val="20"/>
                <w:lang w:val="en-US"/>
              </w:rPr>
              <w:t>unitários</w:t>
            </w:r>
            <w:proofErr w:type="spellEnd"/>
          </w:p>
        </w:tc>
        <w:tc>
          <w:tcPr>
            <w:tcW w:w="952" w:type="dxa"/>
            <w:shd w:val="clear" w:color="auto" w:fill="auto"/>
            <w:noWrap/>
            <w:vAlign w:val="center"/>
          </w:tcPr>
          <w:p w14:paraId="4A31EFDE" w14:textId="77777777" w:rsidR="005477F1" w:rsidRPr="0019600B" w:rsidRDefault="00CE4CA8" w:rsidP="00F82B07">
            <w:pPr>
              <w:spacing w:line="240" w:lineRule="auto"/>
              <w:jc w:val="center"/>
              <w:rPr>
                <w:sz w:val="20"/>
                <w:szCs w:val="20"/>
              </w:rPr>
            </w:pPr>
            <w:r w:rsidRPr="0019600B">
              <w:rPr>
                <w:sz w:val="20"/>
                <w:szCs w:val="20"/>
              </w:rPr>
              <w:t>-</w:t>
            </w:r>
          </w:p>
        </w:tc>
      </w:tr>
      <w:tr w:rsidR="000A0093" w:rsidRPr="0019600B" w14:paraId="4A4C64CB" w14:textId="77777777" w:rsidTr="00A942B6">
        <w:trPr>
          <w:trHeight w:val="315"/>
          <w:jc w:val="center"/>
        </w:trPr>
        <w:tc>
          <w:tcPr>
            <w:tcW w:w="1428" w:type="dxa"/>
            <w:shd w:val="clear" w:color="auto" w:fill="auto"/>
            <w:noWrap/>
            <w:vAlign w:val="center"/>
          </w:tcPr>
          <w:p w14:paraId="454F1F50" w14:textId="77777777" w:rsidR="00367569" w:rsidRPr="0019600B" w:rsidRDefault="002442CD" w:rsidP="00F82B07">
            <w:pPr>
              <w:spacing w:line="240" w:lineRule="auto"/>
              <w:jc w:val="center"/>
              <w:rPr>
                <w:b/>
                <w:sz w:val="20"/>
                <w:szCs w:val="20"/>
              </w:rPr>
            </w:pPr>
            <w:proofErr w:type="spellStart"/>
            <w:proofErr w:type="gramStart"/>
            <w:r w:rsidRPr="0019600B">
              <w:rPr>
                <w:b/>
                <w:sz w:val="20"/>
                <w:szCs w:val="20"/>
              </w:rPr>
              <w:t>ffr</w:t>
            </w:r>
            <w:proofErr w:type="spellEnd"/>
            <w:proofErr w:type="gramEnd"/>
          </w:p>
        </w:tc>
        <w:tc>
          <w:tcPr>
            <w:tcW w:w="2966" w:type="dxa"/>
            <w:shd w:val="clear" w:color="auto" w:fill="auto"/>
            <w:noWrap/>
            <w:vAlign w:val="center"/>
          </w:tcPr>
          <w:p w14:paraId="07711077" w14:textId="77777777" w:rsidR="00367569" w:rsidRPr="0019600B" w:rsidRDefault="002442CD" w:rsidP="00F82B07">
            <w:pPr>
              <w:spacing w:line="240" w:lineRule="auto"/>
              <w:jc w:val="center"/>
              <w:rPr>
                <w:sz w:val="20"/>
                <w:szCs w:val="20"/>
              </w:rPr>
            </w:pPr>
            <w:r w:rsidRPr="0019600B">
              <w:rPr>
                <w:bCs/>
                <w:sz w:val="20"/>
                <w:szCs w:val="20"/>
              </w:rPr>
              <w:t xml:space="preserve">Federal </w:t>
            </w:r>
            <w:proofErr w:type="spellStart"/>
            <w:r w:rsidRPr="0019600B">
              <w:rPr>
                <w:bCs/>
                <w:sz w:val="20"/>
                <w:szCs w:val="20"/>
              </w:rPr>
              <w:t>Funds</w:t>
            </w:r>
            <w:proofErr w:type="spellEnd"/>
            <w:r w:rsidRPr="0019600B">
              <w:rPr>
                <w:bCs/>
                <w:sz w:val="20"/>
                <w:szCs w:val="20"/>
              </w:rPr>
              <w:t xml:space="preserve"> Rate</w:t>
            </w:r>
          </w:p>
        </w:tc>
        <w:tc>
          <w:tcPr>
            <w:tcW w:w="1766" w:type="dxa"/>
            <w:shd w:val="clear" w:color="auto" w:fill="auto"/>
            <w:noWrap/>
            <w:vAlign w:val="center"/>
          </w:tcPr>
          <w:p w14:paraId="179154E3" w14:textId="77777777" w:rsidR="00367569" w:rsidRPr="0019600B" w:rsidRDefault="00B60ECD" w:rsidP="00F82B07">
            <w:pPr>
              <w:spacing w:line="240" w:lineRule="auto"/>
              <w:jc w:val="center"/>
              <w:rPr>
                <w:sz w:val="20"/>
                <w:szCs w:val="20"/>
              </w:rPr>
            </w:pPr>
            <w:r w:rsidRPr="0019600B">
              <w:rPr>
                <w:sz w:val="20"/>
                <w:szCs w:val="20"/>
              </w:rPr>
              <w:t>Federal Reserve – BSL</w:t>
            </w:r>
          </w:p>
        </w:tc>
        <w:tc>
          <w:tcPr>
            <w:tcW w:w="2018" w:type="dxa"/>
            <w:vAlign w:val="center"/>
          </w:tcPr>
          <w:p w14:paraId="3D725006" w14:textId="77777777" w:rsidR="00367569" w:rsidRPr="0019600B" w:rsidRDefault="00367569"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6574BB90" w14:textId="77777777" w:rsidR="00367569" w:rsidRPr="0019600B" w:rsidRDefault="00367569" w:rsidP="00F82B07">
            <w:pPr>
              <w:spacing w:line="240" w:lineRule="auto"/>
              <w:jc w:val="center"/>
              <w:rPr>
                <w:sz w:val="20"/>
                <w:szCs w:val="20"/>
              </w:rPr>
            </w:pPr>
            <w:r w:rsidRPr="0019600B">
              <w:rPr>
                <w:sz w:val="20"/>
                <w:szCs w:val="20"/>
              </w:rPr>
              <w:t>-</w:t>
            </w:r>
          </w:p>
        </w:tc>
      </w:tr>
      <w:tr w:rsidR="00CE4CA8" w:rsidRPr="0019600B" w14:paraId="292D28AF" w14:textId="77777777" w:rsidTr="00A942B6">
        <w:trPr>
          <w:trHeight w:val="315"/>
          <w:jc w:val="center"/>
        </w:trPr>
        <w:tc>
          <w:tcPr>
            <w:tcW w:w="1428" w:type="dxa"/>
            <w:shd w:val="clear" w:color="auto" w:fill="auto"/>
            <w:noWrap/>
            <w:vAlign w:val="center"/>
          </w:tcPr>
          <w:p w14:paraId="78D3C9ED" w14:textId="77777777" w:rsidR="00CE4CA8" w:rsidRPr="0019600B" w:rsidRDefault="00CE4CA8" w:rsidP="00F82B07">
            <w:pPr>
              <w:spacing w:line="240" w:lineRule="auto"/>
              <w:jc w:val="center"/>
              <w:rPr>
                <w:b/>
                <w:sz w:val="20"/>
                <w:szCs w:val="20"/>
              </w:rPr>
            </w:pPr>
            <w:proofErr w:type="spellStart"/>
            <w:proofErr w:type="gramStart"/>
            <w:r w:rsidRPr="0019600B">
              <w:rPr>
                <w:b/>
                <w:sz w:val="20"/>
                <w:szCs w:val="20"/>
              </w:rPr>
              <w:t>jurosd</w:t>
            </w:r>
            <w:proofErr w:type="spellEnd"/>
            <w:proofErr w:type="gramEnd"/>
          </w:p>
        </w:tc>
        <w:tc>
          <w:tcPr>
            <w:tcW w:w="2966" w:type="dxa"/>
            <w:shd w:val="clear" w:color="auto" w:fill="auto"/>
            <w:noWrap/>
            <w:vAlign w:val="center"/>
          </w:tcPr>
          <w:p w14:paraId="6FF684E0" w14:textId="77777777" w:rsidR="00CE4CA8" w:rsidRPr="0019600B" w:rsidRDefault="00CE4CA8" w:rsidP="00F82B07">
            <w:pPr>
              <w:spacing w:line="240" w:lineRule="auto"/>
              <w:jc w:val="center"/>
              <w:rPr>
                <w:sz w:val="20"/>
                <w:szCs w:val="20"/>
              </w:rPr>
            </w:pPr>
            <w:r w:rsidRPr="0019600B">
              <w:rPr>
                <w:bCs/>
                <w:sz w:val="20"/>
                <w:szCs w:val="20"/>
              </w:rPr>
              <w:t>Taxa de juro dos depósitos</w:t>
            </w:r>
          </w:p>
        </w:tc>
        <w:tc>
          <w:tcPr>
            <w:tcW w:w="1766" w:type="dxa"/>
            <w:shd w:val="clear" w:color="auto" w:fill="auto"/>
            <w:noWrap/>
            <w:vAlign w:val="center"/>
          </w:tcPr>
          <w:p w14:paraId="5F54884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FCCBDB"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25257603"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D5514DA" w14:textId="77777777" w:rsidTr="00A942B6">
        <w:trPr>
          <w:trHeight w:val="315"/>
          <w:jc w:val="center"/>
        </w:trPr>
        <w:tc>
          <w:tcPr>
            <w:tcW w:w="1428" w:type="dxa"/>
            <w:shd w:val="clear" w:color="auto" w:fill="auto"/>
            <w:noWrap/>
            <w:vAlign w:val="center"/>
          </w:tcPr>
          <w:p w14:paraId="447E8203" w14:textId="77777777" w:rsidR="00CE4CA8" w:rsidRPr="0019600B" w:rsidRDefault="00CE4CA8" w:rsidP="00F82B07">
            <w:pPr>
              <w:spacing w:line="240" w:lineRule="auto"/>
              <w:jc w:val="center"/>
              <w:rPr>
                <w:b/>
                <w:sz w:val="20"/>
                <w:szCs w:val="20"/>
              </w:rPr>
            </w:pPr>
            <w:proofErr w:type="gramStart"/>
            <w:r w:rsidRPr="0019600B">
              <w:rPr>
                <w:b/>
                <w:sz w:val="20"/>
                <w:szCs w:val="20"/>
              </w:rPr>
              <w:t>cambio</w:t>
            </w:r>
            <w:proofErr w:type="gramEnd"/>
          </w:p>
        </w:tc>
        <w:tc>
          <w:tcPr>
            <w:tcW w:w="2966" w:type="dxa"/>
            <w:shd w:val="clear" w:color="auto" w:fill="auto"/>
            <w:noWrap/>
            <w:vAlign w:val="center"/>
          </w:tcPr>
          <w:p w14:paraId="444E8F05" w14:textId="77777777" w:rsidR="00CE4CA8" w:rsidRPr="0019600B" w:rsidRDefault="00CE4CA8" w:rsidP="00F82B07">
            <w:pPr>
              <w:spacing w:line="240" w:lineRule="auto"/>
              <w:jc w:val="center"/>
              <w:rPr>
                <w:sz w:val="20"/>
                <w:szCs w:val="20"/>
              </w:rPr>
            </w:pPr>
            <w:r w:rsidRPr="0019600B">
              <w:rPr>
                <w:bCs/>
                <w:sz w:val="20"/>
                <w:szCs w:val="20"/>
              </w:rPr>
              <w:t>Taxa nominal de câmbio</w:t>
            </w:r>
          </w:p>
        </w:tc>
        <w:tc>
          <w:tcPr>
            <w:tcW w:w="1766" w:type="dxa"/>
            <w:shd w:val="clear" w:color="auto" w:fill="auto"/>
            <w:noWrap/>
            <w:vAlign w:val="center"/>
          </w:tcPr>
          <w:p w14:paraId="14D19C2B"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60DFEF"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477BA426"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479D7CD" w14:textId="77777777" w:rsidTr="00A942B6">
        <w:trPr>
          <w:trHeight w:val="315"/>
          <w:jc w:val="center"/>
        </w:trPr>
        <w:tc>
          <w:tcPr>
            <w:tcW w:w="1428" w:type="dxa"/>
            <w:shd w:val="clear" w:color="auto" w:fill="auto"/>
            <w:noWrap/>
            <w:vAlign w:val="center"/>
          </w:tcPr>
          <w:p w14:paraId="740DE13C" w14:textId="77777777" w:rsidR="00CE4CA8" w:rsidRPr="0019600B" w:rsidRDefault="00CE4CA8" w:rsidP="00F82B07">
            <w:pPr>
              <w:spacing w:line="240" w:lineRule="auto"/>
              <w:jc w:val="center"/>
              <w:rPr>
                <w:b/>
                <w:sz w:val="20"/>
                <w:szCs w:val="20"/>
              </w:rPr>
            </w:pPr>
            <w:proofErr w:type="gramStart"/>
            <w:r w:rsidRPr="0019600B">
              <w:rPr>
                <w:b/>
                <w:sz w:val="20"/>
                <w:szCs w:val="20"/>
              </w:rPr>
              <w:t>pib2005</w:t>
            </w:r>
            <w:proofErr w:type="gramEnd"/>
          </w:p>
        </w:tc>
        <w:tc>
          <w:tcPr>
            <w:tcW w:w="2966" w:type="dxa"/>
            <w:shd w:val="clear" w:color="auto" w:fill="auto"/>
            <w:noWrap/>
            <w:vAlign w:val="center"/>
          </w:tcPr>
          <w:p w14:paraId="5386A651" w14:textId="77777777" w:rsidR="00CE4CA8" w:rsidRPr="0019600B" w:rsidRDefault="00CE4CA8" w:rsidP="00F82B07">
            <w:pPr>
              <w:spacing w:line="240" w:lineRule="auto"/>
              <w:jc w:val="center"/>
              <w:rPr>
                <w:sz w:val="20"/>
                <w:szCs w:val="20"/>
              </w:rPr>
            </w:pPr>
            <w:r w:rsidRPr="0019600B">
              <w:rPr>
                <w:bCs/>
                <w:sz w:val="20"/>
                <w:szCs w:val="20"/>
              </w:rPr>
              <w:t>Produto interno bruto a preços constantes</w:t>
            </w:r>
          </w:p>
        </w:tc>
        <w:tc>
          <w:tcPr>
            <w:tcW w:w="1766" w:type="dxa"/>
            <w:shd w:val="clear" w:color="auto" w:fill="auto"/>
            <w:noWrap/>
            <w:vAlign w:val="center"/>
          </w:tcPr>
          <w:p w14:paraId="6FA76470"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3C515ED" w14:textId="77777777" w:rsidR="00CE4CA8" w:rsidRPr="0019600B" w:rsidRDefault="00CE4CA8"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AE6D4AE"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5315362" w14:textId="77777777" w:rsidTr="00A942B6">
        <w:trPr>
          <w:trHeight w:val="315"/>
          <w:jc w:val="center"/>
        </w:trPr>
        <w:tc>
          <w:tcPr>
            <w:tcW w:w="1428" w:type="dxa"/>
            <w:shd w:val="clear" w:color="auto" w:fill="auto"/>
            <w:noWrap/>
            <w:vAlign w:val="center"/>
          </w:tcPr>
          <w:p w14:paraId="11589CFB" w14:textId="77777777" w:rsidR="00CE4CA8" w:rsidRPr="0019600B" w:rsidRDefault="00CE4CA8" w:rsidP="00F82B07">
            <w:pPr>
              <w:spacing w:line="240" w:lineRule="auto"/>
              <w:jc w:val="center"/>
              <w:rPr>
                <w:b/>
                <w:sz w:val="20"/>
                <w:szCs w:val="20"/>
              </w:rPr>
            </w:pPr>
            <w:proofErr w:type="spellStart"/>
            <w:proofErr w:type="gramStart"/>
            <w:r w:rsidRPr="0019600B">
              <w:rPr>
                <w:b/>
                <w:sz w:val="20"/>
                <w:szCs w:val="20"/>
              </w:rPr>
              <w:t>tc</w:t>
            </w:r>
            <w:proofErr w:type="spellEnd"/>
            <w:proofErr w:type="gramEnd"/>
          </w:p>
        </w:tc>
        <w:tc>
          <w:tcPr>
            <w:tcW w:w="2966" w:type="dxa"/>
            <w:shd w:val="clear" w:color="auto" w:fill="auto"/>
            <w:noWrap/>
            <w:vAlign w:val="center"/>
          </w:tcPr>
          <w:p w14:paraId="0F8B03EE" w14:textId="77777777" w:rsidR="00CE4CA8" w:rsidRPr="0019600B" w:rsidRDefault="00CE4CA8" w:rsidP="00F82B07">
            <w:pPr>
              <w:spacing w:line="240" w:lineRule="auto"/>
              <w:jc w:val="center"/>
              <w:rPr>
                <w:bCs/>
                <w:sz w:val="20"/>
                <w:szCs w:val="20"/>
              </w:rPr>
            </w:pPr>
            <w:r w:rsidRPr="0019600B">
              <w:rPr>
                <w:bCs/>
                <w:sz w:val="20"/>
                <w:szCs w:val="20"/>
              </w:rPr>
              <w:t>Saldo em transações correntes</w:t>
            </w:r>
          </w:p>
          <w:p w14:paraId="63228485" w14:textId="77777777" w:rsidR="00CE4CA8" w:rsidRPr="0019600B" w:rsidRDefault="00CE4CA8" w:rsidP="00F82B07">
            <w:pPr>
              <w:spacing w:line="240" w:lineRule="auto"/>
              <w:jc w:val="center"/>
              <w:rPr>
                <w:sz w:val="20"/>
                <w:szCs w:val="20"/>
              </w:rPr>
            </w:pPr>
            <w:proofErr w:type="gramStart"/>
            <w:r w:rsidRPr="0019600B">
              <w:rPr>
                <w:bCs/>
                <w:sz w:val="20"/>
                <w:szCs w:val="20"/>
              </w:rPr>
              <w:t>sobre</w:t>
            </w:r>
            <w:proofErr w:type="gramEnd"/>
            <w:r w:rsidRPr="0019600B">
              <w:rPr>
                <w:bCs/>
                <w:sz w:val="20"/>
                <w:szCs w:val="20"/>
              </w:rPr>
              <w:t xml:space="preserve"> o PIB</w:t>
            </w:r>
          </w:p>
        </w:tc>
        <w:tc>
          <w:tcPr>
            <w:tcW w:w="1766" w:type="dxa"/>
            <w:shd w:val="clear" w:color="auto" w:fill="auto"/>
            <w:noWrap/>
            <w:vAlign w:val="center"/>
          </w:tcPr>
          <w:p w14:paraId="3E42D1F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247D9692"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01062E78"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693C0A2" w14:textId="77777777" w:rsidTr="00A942B6">
        <w:trPr>
          <w:trHeight w:val="315"/>
          <w:jc w:val="center"/>
        </w:trPr>
        <w:tc>
          <w:tcPr>
            <w:tcW w:w="1428" w:type="dxa"/>
            <w:shd w:val="clear" w:color="auto" w:fill="auto"/>
            <w:noWrap/>
            <w:vAlign w:val="center"/>
          </w:tcPr>
          <w:p w14:paraId="146E3EB8" w14:textId="77777777" w:rsidR="00CE4CA8" w:rsidRPr="0019600B" w:rsidRDefault="00CE4CA8" w:rsidP="00F82B07">
            <w:pPr>
              <w:spacing w:line="240" w:lineRule="auto"/>
              <w:jc w:val="center"/>
              <w:rPr>
                <w:b/>
                <w:sz w:val="20"/>
                <w:szCs w:val="20"/>
              </w:rPr>
            </w:pPr>
            <w:proofErr w:type="gramStart"/>
            <w:r w:rsidRPr="0019600B">
              <w:rPr>
                <w:b/>
                <w:sz w:val="20"/>
                <w:szCs w:val="20"/>
              </w:rPr>
              <w:t>reservas</w:t>
            </w:r>
            <w:proofErr w:type="gramEnd"/>
          </w:p>
        </w:tc>
        <w:tc>
          <w:tcPr>
            <w:tcW w:w="2966" w:type="dxa"/>
            <w:shd w:val="clear" w:color="auto" w:fill="auto"/>
            <w:noWrap/>
            <w:vAlign w:val="center"/>
          </w:tcPr>
          <w:p w14:paraId="6468CA25" w14:textId="77777777" w:rsidR="00CE4CA8" w:rsidRPr="0019600B" w:rsidRDefault="00CE4CA8" w:rsidP="00F82B07">
            <w:pPr>
              <w:spacing w:line="240" w:lineRule="auto"/>
              <w:jc w:val="center"/>
              <w:rPr>
                <w:bCs/>
                <w:sz w:val="20"/>
                <w:szCs w:val="20"/>
              </w:rPr>
            </w:pPr>
            <w:r w:rsidRPr="0019600B">
              <w:rPr>
                <w:bCs/>
                <w:sz w:val="20"/>
                <w:szCs w:val="20"/>
              </w:rPr>
              <w:t>Reservas totais sobre a</w:t>
            </w:r>
          </w:p>
          <w:p w14:paraId="231FDB37" w14:textId="77777777" w:rsidR="00CE4CA8" w:rsidRPr="0019600B" w:rsidRDefault="00CE4CA8" w:rsidP="00F82B07">
            <w:pPr>
              <w:spacing w:line="240" w:lineRule="auto"/>
              <w:jc w:val="center"/>
              <w:rPr>
                <w:sz w:val="20"/>
                <w:szCs w:val="20"/>
              </w:rPr>
            </w:pPr>
            <w:proofErr w:type="gramStart"/>
            <w:r w:rsidRPr="0019600B">
              <w:rPr>
                <w:bCs/>
                <w:sz w:val="20"/>
                <w:szCs w:val="20"/>
              </w:rPr>
              <w:t>dívida</w:t>
            </w:r>
            <w:proofErr w:type="gramEnd"/>
            <w:r w:rsidRPr="0019600B">
              <w:rPr>
                <w:bCs/>
                <w:sz w:val="20"/>
                <w:szCs w:val="20"/>
              </w:rPr>
              <w:t xml:space="preserve"> externa</w:t>
            </w:r>
          </w:p>
        </w:tc>
        <w:tc>
          <w:tcPr>
            <w:tcW w:w="1766" w:type="dxa"/>
            <w:shd w:val="clear" w:color="auto" w:fill="auto"/>
            <w:noWrap/>
            <w:vAlign w:val="center"/>
          </w:tcPr>
          <w:p w14:paraId="1829846E"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BCA3353"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671FB5F1" w14:textId="77777777" w:rsidR="00CE4CA8" w:rsidRPr="0019600B" w:rsidRDefault="00CE4CA8" w:rsidP="00F82B07">
            <w:pPr>
              <w:spacing w:line="240" w:lineRule="auto"/>
              <w:jc w:val="center"/>
              <w:rPr>
                <w:sz w:val="20"/>
                <w:szCs w:val="20"/>
              </w:rPr>
            </w:pPr>
            <w:r w:rsidRPr="0019600B">
              <w:rPr>
                <w:sz w:val="20"/>
                <w:szCs w:val="20"/>
              </w:rPr>
              <w:t>+</w:t>
            </w:r>
          </w:p>
        </w:tc>
      </w:tr>
    </w:tbl>
    <w:p w14:paraId="7614A8C5" w14:textId="302994D5" w:rsidR="00675499" w:rsidRPr="000A0093" w:rsidRDefault="00542007" w:rsidP="00F82B07">
      <w:pPr>
        <w:tabs>
          <w:tab w:val="left" w:pos="5660"/>
        </w:tabs>
        <w:autoSpaceDE w:val="0"/>
        <w:spacing w:line="240" w:lineRule="auto"/>
        <w:rPr>
          <w:sz w:val="20"/>
          <w:szCs w:val="20"/>
          <w:lang w:val="en-US"/>
        </w:rPr>
      </w:pPr>
      <w:proofErr w:type="spellStart"/>
      <w:r w:rsidRPr="000A0093">
        <w:rPr>
          <w:sz w:val="20"/>
          <w:szCs w:val="20"/>
          <w:lang w:val="en-US"/>
        </w:rPr>
        <w:t>Notas</w:t>
      </w:r>
      <w:proofErr w:type="spellEnd"/>
      <w:r w:rsidRPr="000A0093">
        <w:rPr>
          <w:sz w:val="20"/>
          <w:szCs w:val="20"/>
          <w:lang w:val="en-US"/>
        </w:rPr>
        <w:t>:(</w:t>
      </w:r>
      <w:r w:rsidR="00367569" w:rsidRPr="000A0093">
        <w:rPr>
          <w:sz w:val="20"/>
          <w:szCs w:val="20"/>
          <w:lang w:val="en-US"/>
        </w:rPr>
        <w:t>1</w:t>
      </w:r>
      <w:r w:rsidRPr="000A0093">
        <w:rPr>
          <w:sz w:val="20"/>
          <w:szCs w:val="20"/>
          <w:lang w:val="en-US"/>
        </w:rPr>
        <w:t xml:space="preserve">) </w:t>
      </w:r>
      <w:r w:rsidR="00367569" w:rsidRPr="000A0093">
        <w:rPr>
          <w:sz w:val="20"/>
          <w:szCs w:val="20"/>
          <w:lang w:val="en-US"/>
        </w:rPr>
        <w:t xml:space="preserve">International Financial Statistic / International Monetary Fund; </w:t>
      </w:r>
      <w:r w:rsidRPr="000A0093">
        <w:rPr>
          <w:sz w:val="20"/>
          <w:szCs w:val="20"/>
          <w:lang w:val="en-US"/>
        </w:rPr>
        <w:t>(</w:t>
      </w:r>
      <w:r w:rsidR="00367569" w:rsidRPr="000A0093">
        <w:rPr>
          <w:sz w:val="20"/>
          <w:szCs w:val="20"/>
          <w:lang w:val="en-US"/>
        </w:rPr>
        <w:t>2</w:t>
      </w:r>
      <w:r w:rsidRPr="000A0093">
        <w:rPr>
          <w:sz w:val="20"/>
          <w:szCs w:val="20"/>
          <w:lang w:val="en-US"/>
        </w:rPr>
        <w:t>)</w:t>
      </w:r>
      <w:r w:rsidR="00367569" w:rsidRPr="000A0093">
        <w:rPr>
          <w:sz w:val="20"/>
          <w:szCs w:val="20"/>
          <w:lang w:val="en-US"/>
        </w:rPr>
        <w:t xml:space="preserve"> </w:t>
      </w:r>
      <w:r w:rsidR="00367569" w:rsidRPr="000A0093">
        <w:rPr>
          <w:bCs/>
          <w:sz w:val="20"/>
          <w:szCs w:val="20"/>
          <w:lang w:val="en-US"/>
        </w:rPr>
        <w:t>Chicago Board Options Exchange;</w:t>
      </w:r>
      <w:r w:rsidR="00B845E8" w:rsidRPr="000A0093">
        <w:rPr>
          <w:bCs/>
          <w:sz w:val="20"/>
          <w:szCs w:val="20"/>
          <w:lang w:val="en-US"/>
        </w:rPr>
        <w:t xml:space="preserve"> </w:t>
      </w:r>
      <w:r w:rsidRPr="000A0093">
        <w:rPr>
          <w:bCs/>
          <w:sz w:val="20"/>
          <w:szCs w:val="20"/>
          <w:lang w:val="en-US"/>
        </w:rPr>
        <w:t>(</w:t>
      </w:r>
      <w:r w:rsidR="00367569" w:rsidRPr="000A0093">
        <w:rPr>
          <w:bCs/>
          <w:sz w:val="20"/>
          <w:szCs w:val="20"/>
          <w:lang w:val="en-US"/>
        </w:rPr>
        <w:t>3</w:t>
      </w:r>
      <w:r w:rsidRPr="000A0093">
        <w:rPr>
          <w:bCs/>
          <w:sz w:val="20"/>
          <w:szCs w:val="20"/>
          <w:lang w:val="en-US"/>
        </w:rPr>
        <w:t xml:space="preserve">) </w:t>
      </w:r>
      <w:r w:rsidR="00367569" w:rsidRPr="000A0093">
        <w:rPr>
          <w:sz w:val="20"/>
          <w:szCs w:val="20"/>
          <w:lang w:val="en-US"/>
        </w:rPr>
        <w:t xml:space="preserve">World Economic Outlook Database / International Monetary Fund; </w:t>
      </w:r>
      <w:r w:rsidRPr="000A0093">
        <w:rPr>
          <w:sz w:val="20"/>
          <w:szCs w:val="20"/>
          <w:lang w:val="en-US"/>
        </w:rPr>
        <w:t>(</w:t>
      </w:r>
      <w:r w:rsidR="00367569" w:rsidRPr="000A0093">
        <w:rPr>
          <w:sz w:val="20"/>
          <w:szCs w:val="20"/>
          <w:lang w:val="en-US"/>
        </w:rPr>
        <w:t>4</w:t>
      </w:r>
      <w:r w:rsidRPr="000A0093">
        <w:rPr>
          <w:sz w:val="20"/>
          <w:szCs w:val="20"/>
          <w:lang w:val="en-US"/>
        </w:rPr>
        <w:t>)</w:t>
      </w:r>
      <w:r w:rsidR="00367569" w:rsidRPr="000A0093">
        <w:rPr>
          <w:sz w:val="20"/>
          <w:szCs w:val="20"/>
          <w:lang w:val="en-US"/>
        </w:rPr>
        <w:t xml:space="preserve"> Federal Reserve Bank of </w:t>
      </w:r>
      <w:proofErr w:type="spellStart"/>
      <w:r w:rsidR="00367569" w:rsidRPr="000A0093">
        <w:rPr>
          <w:sz w:val="20"/>
          <w:szCs w:val="20"/>
          <w:lang w:val="en-US"/>
        </w:rPr>
        <w:t>Sant</w:t>
      </w:r>
      <w:proofErr w:type="spellEnd"/>
      <w:r w:rsidR="00367569" w:rsidRPr="000A0093">
        <w:rPr>
          <w:sz w:val="20"/>
          <w:szCs w:val="20"/>
          <w:lang w:val="en-US"/>
        </w:rPr>
        <w:t xml:space="preserve"> Louis</w:t>
      </w:r>
      <w:r w:rsidR="009C34E4">
        <w:rPr>
          <w:sz w:val="20"/>
          <w:szCs w:val="20"/>
          <w:lang w:val="en-US"/>
        </w:rPr>
        <w:t>.</w:t>
      </w:r>
    </w:p>
    <w:p w14:paraId="119B7B44" w14:textId="77777777" w:rsidR="00675499" w:rsidRPr="000A0093" w:rsidRDefault="00675499" w:rsidP="00FC2664">
      <w:pPr>
        <w:tabs>
          <w:tab w:val="left" w:pos="5660"/>
        </w:tabs>
        <w:autoSpaceDE w:val="0"/>
        <w:spacing w:line="480" w:lineRule="auto"/>
        <w:rPr>
          <w:sz w:val="20"/>
          <w:szCs w:val="20"/>
          <w:lang w:val="en-US"/>
        </w:rPr>
      </w:pPr>
    </w:p>
    <w:p w14:paraId="14D4902F" w14:textId="2C0654EB" w:rsidR="002F0C4F" w:rsidRDefault="00367569" w:rsidP="00FC2664">
      <w:pPr>
        <w:tabs>
          <w:tab w:val="left" w:pos="5660"/>
        </w:tabs>
        <w:autoSpaceDE w:val="0"/>
        <w:spacing w:line="480" w:lineRule="auto"/>
        <w:ind w:firstLine="851"/>
      </w:pPr>
      <w:r w:rsidRPr="000A0093">
        <w:t xml:space="preserve">Antes de avançar nas especificações do modelo, cabem algumas explicações adicionais </w:t>
      </w:r>
      <w:r w:rsidR="003E7AAC">
        <w:t>sobre as</w:t>
      </w:r>
      <w:r w:rsidRPr="000A0093">
        <w:t xml:space="preserve"> variáveis escolhidas.</w:t>
      </w:r>
      <w:r w:rsidR="00BD7882">
        <w:t xml:space="preserve"> Das variáveis classificadas como </w:t>
      </w:r>
      <w:proofErr w:type="spellStart"/>
      <w:r w:rsidR="00BD7882" w:rsidRPr="00BD7882">
        <w:rPr>
          <w:i/>
        </w:rPr>
        <w:t>push</w:t>
      </w:r>
      <w:proofErr w:type="spellEnd"/>
      <w:r w:rsidR="00BD7882" w:rsidRPr="00BD7882">
        <w:rPr>
          <w:i/>
        </w:rPr>
        <w:t xml:space="preserve"> </w:t>
      </w:r>
      <w:proofErr w:type="spellStart"/>
      <w:r w:rsidR="00BD7882" w:rsidRPr="00BD7882">
        <w:rPr>
          <w:i/>
        </w:rPr>
        <w:t>factors</w:t>
      </w:r>
      <w:proofErr w:type="spellEnd"/>
      <w:r w:rsidR="00BD7882">
        <w:t xml:space="preserve">, </w:t>
      </w:r>
      <w:proofErr w:type="spellStart"/>
      <w:r w:rsidR="00BD7882" w:rsidRPr="00BD7882">
        <w:rPr>
          <w:i/>
        </w:rPr>
        <w:t>vix</w:t>
      </w:r>
      <w:proofErr w:type="spellEnd"/>
      <w:r w:rsidR="00BD7882">
        <w:t xml:space="preserve"> e </w:t>
      </w:r>
      <w:proofErr w:type="spellStart"/>
      <w:r w:rsidR="00BD7882" w:rsidRPr="00BD7882">
        <w:rPr>
          <w:i/>
        </w:rPr>
        <w:t>pibbm</w:t>
      </w:r>
      <w:proofErr w:type="spellEnd"/>
      <w:r w:rsidR="00BD7882">
        <w:rPr>
          <w:i/>
        </w:rPr>
        <w:t xml:space="preserve"> </w:t>
      </w:r>
      <w:r w:rsidR="00BD7882">
        <w:t xml:space="preserve">estão relacionadas com a questão das expectativas dos agentes internacionais; </w:t>
      </w:r>
      <w:proofErr w:type="spellStart"/>
      <w:r w:rsidR="00BD7882">
        <w:t>dowjones</w:t>
      </w:r>
      <w:proofErr w:type="spellEnd"/>
      <w:r w:rsidR="009C34E4">
        <w:t xml:space="preserve"> e</w:t>
      </w:r>
      <w:r w:rsidR="00A942B6">
        <w:t xml:space="preserve"> </w:t>
      </w:r>
      <w:proofErr w:type="spellStart"/>
      <w:r w:rsidR="00A942B6">
        <w:t>ffr</w:t>
      </w:r>
      <w:proofErr w:type="spellEnd"/>
      <w:r w:rsidR="00A942B6">
        <w:t xml:space="preserve"> representam as alternativas de rendimento que os </w:t>
      </w:r>
      <w:r w:rsidR="00F37B24">
        <w:t>agentes privados globais</w:t>
      </w:r>
      <w:r w:rsidR="00A942B6">
        <w:t xml:space="preserve"> dispõem nos países desenvolvidos. Em contrapartida, </w:t>
      </w:r>
      <w:r w:rsidR="00A942B6" w:rsidRPr="00A942B6">
        <w:rPr>
          <w:i/>
        </w:rPr>
        <w:t>juros</w:t>
      </w:r>
      <w:r w:rsidR="00A942B6">
        <w:t xml:space="preserve"> e </w:t>
      </w:r>
      <w:r w:rsidR="00BA1206">
        <w:rPr>
          <w:i/>
        </w:rPr>
        <w:t>cambio</w:t>
      </w:r>
      <w:r w:rsidR="001358B7">
        <w:t xml:space="preserve">, refletem as possibilidades de rendimentos nos países em desenvolvimento. A variável </w:t>
      </w:r>
      <w:r w:rsidR="001358B7" w:rsidRPr="001358B7">
        <w:rPr>
          <w:i/>
        </w:rPr>
        <w:t>pib2005</w:t>
      </w:r>
      <w:proofErr w:type="gramStart"/>
      <w:r w:rsidR="001358B7" w:rsidRPr="001358B7">
        <w:t>,</w:t>
      </w:r>
      <w:r w:rsidR="001358B7">
        <w:rPr>
          <w:i/>
        </w:rPr>
        <w:t xml:space="preserve"> </w:t>
      </w:r>
      <w:r w:rsidR="001358B7">
        <w:t>reflete</w:t>
      </w:r>
      <w:proofErr w:type="gramEnd"/>
      <w:r w:rsidR="001358B7">
        <w:t xml:space="preserve"> o dinamismo da economia as demais variáveis estão relacionadas com o grau de vulnerabilidade interna e externa dos países.</w:t>
      </w:r>
      <w:r w:rsidR="001358B7">
        <w:rPr>
          <w:i/>
        </w:rPr>
        <w:t xml:space="preserve"> </w:t>
      </w:r>
      <w:r w:rsidR="001358B7">
        <w:t xml:space="preserve">Tais variáveis foram </w:t>
      </w:r>
      <w:r w:rsidR="00720251">
        <w:t>verificadas</w:t>
      </w:r>
      <w:r w:rsidR="001358B7">
        <w:t xml:space="preserve"> em diferentes trabalhos vistos na seção anterior.</w:t>
      </w:r>
      <w:r w:rsidR="00593E03">
        <w:t xml:space="preserve"> </w:t>
      </w:r>
    </w:p>
    <w:p w14:paraId="1BB6865E" w14:textId="2160149D" w:rsidR="00367569" w:rsidRPr="000A0093" w:rsidRDefault="00367569" w:rsidP="00FC2664">
      <w:pPr>
        <w:tabs>
          <w:tab w:val="left" w:pos="5660"/>
        </w:tabs>
        <w:autoSpaceDE w:val="0"/>
        <w:spacing w:line="480" w:lineRule="auto"/>
        <w:ind w:firstLine="851"/>
      </w:pPr>
      <w:r w:rsidRPr="000A0093">
        <w:lastRenderedPageBreak/>
        <w:t xml:space="preserve">A variável </w:t>
      </w:r>
      <w:proofErr w:type="spellStart"/>
      <w:r w:rsidRPr="000A0093">
        <w:rPr>
          <w:i/>
        </w:rPr>
        <w:t>vix</w:t>
      </w:r>
      <w:proofErr w:type="spellEnd"/>
      <w:r w:rsidRPr="000A0093">
        <w:t xml:space="preserve"> foi adotada porque tem sido considerada, a ex</w:t>
      </w:r>
      <w:r w:rsidR="00437572">
        <w:t xml:space="preserve">emplo de Ahmed e </w:t>
      </w:r>
      <w:proofErr w:type="spellStart"/>
      <w:r w:rsidR="00437572">
        <w:t>Zlate</w:t>
      </w:r>
      <w:proofErr w:type="spellEnd"/>
      <w:r w:rsidR="00437572">
        <w:t xml:space="preserve"> (2013), </w:t>
      </w:r>
      <w:r w:rsidR="00437572" w:rsidRPr="00437572">
        <w:rPr>
          <w:rFonts w:eastAsia="Times New Roman"/>
          <w:szCs w:val="20"/>
          <w:lang w:eastAsia="pt-BR"/>
        </w:rPr>
        <w:t xml:space="preserve">Rey (2013) e </w:t>
      </w:r>
      <w:r w:rsidRPr="000A0093">
        <w:rPr>
          <w:bCs/>
        </w:rPr>
        <w:t xml:space="preserve">Bruno e </w:t>
      </w:r>
      <w:proofErr w:type="spellStart"/>
      <w:r w:rsidRPr="000A0093">
        <w:rPr>
          <w:bCs/>
        </w:rPr>
        <w:t>Shin</w:t>
      </w:r>
      <w:proofErr w:type="spellEnd"/>
      <w:r w:rsidRPr="000A0093">
        <w:rPr>
          <w:bCs/>
        </w:rPr>
        <w:t xml:space="preserve"> (2013),</w:t>
      </w:r>
      <w:r w:rsidRPr="000A0093">
        <w:t xml:space="preserve"> a melhor representação </w:t>
      </w:r>
      <w:r w:rsidR="00136AF6">
        <w:t>da aversão ao</w:t>
      </w:r>
      <w:r w:rsidRPr="000A0093">
        <w:t xml:space="preserve"> risco dos </w:t>
      </w:r>
      <w:r w:rsidR="00F37B24">
        <w:t>agentes privados globais</w:t>
      </w:r>
      <w:r w:rsidRPr="000A0093">
        <w:t xml:space="preserve">. Quanto maior seu nível, maior será a aversão ao risco. Em termos </w:t>
      </w:r>
      <w:proofErr w:type="spellStart"/>
      <w:r w:rsidRPr="000A0093">
        <w:t>keynesianos</w:t>
      </w:r>
      <w:proofErr w:type="spellEnd"/>
      <w:r w:rsidRPr="000A0093">
        <w:t xml:space="preserve">, a elevação do </w:t>
      </w:r>
      <w:proofErr w:type="spellStart"/>
      <w:r w:rsidRPr="000A0093">
        <w:rPr>
          <w:i/>
        </w:rPr>
        <w:t>vix</w:t>
      </w:r>
      <w:proofErr w:type="spellEnd"/>
      <w:r w:rsidRPr="000A0093">
        <w:t xml:space="preserve"> poderia ser interpretada como um aumento da preferência p</w:t>
      </w:r>
      <w:r w:rsidR="0017173B" w:rsidRPr="000A0093">
        <w:t>ela</w:t>
      </w:r>
      <w:r w:rsidRPr="000A0093">
        <w:t xml:space="preserve"> liquidez, a qual resulta, devido </w:t>
      </w:r>
      <w:r w:rsidR="0017173B" w:rsidRPr="000A0093">
        <w:t>à</w:t>
      </w:r>
      <w:r w:rsidRPr="000A0093">
        <w:t xml:space="preserve">s assimetrias do sistema monetário internacional, </w:t>
      </w:r>
      <w:r w:rsidR="0017173B" w:rsidRPr="000A0093">
        <w:t xml:space="preserve">num movimento de aumento da demanda por títulos dos países desenvolvidos, sobretudo do governo dos Estados Unidos e, consequentemente, </w:t>
      </w:r>
      <w:r w:rsidRPr="000A0093">
        <w:t>redução dos fluxos de capitais aos países em desenvolvimento.</w:t>
      </w:r>
    </w:p>
    <w:p w14:paraId="444D8363" w14:textId="77777777" w:rsidR="00367569" w:rsidRDefault="00367569" w:rsidP="00FC2664">
      <w:pPr>
        <w:autoSpaceDE w:val="0"/>
        <w:spacing w:line="480" w:lineRule="auto"/>
        <w:ind w:firstLine="851"/>
      </w:pPr>
      <w:r w:rsidRPr="000A0093">
        <w:t>Espera-se sinal negat</w:t>
      </w:r>
      <w:r w:rsidR="00EA13FC">
        <w:t xml:space="preserve">ivo da variável </w:t>
      </w:r>
      <w:proofErr w:type="spellStart"/>
      <w:r w:rsidR="00EA13FC" w:rsidRPr="00EA13FC">
        <w:rPr>
          <w:i/>
        </w:rPr>
        <w:t>dowjones</w:t>
      </w:r>
      <w:proofErr w:type="spellEnd"/>
      <w:r w:rsidRPr="000A0093">
        <w:rPr>
          <w:vertAlign w:val="subscript"/>
        </w:rPr>
        <w:t xml:space="preserve"> </w:t>
      </w:r>
      <w:r w:rsidRPr="000A0093">
        <w:t xml:space="preserve">por ela representar uma alternativa de rendimento aos investimentos nos países em desenvolvimento. </w:t>
      </w:r>
      <w:r w:rsidR="008D28D5" w:rsidRPr="000A0093">
        <w:t>O</w:t>
      </w:r>
      <w:r w:rsidR="00906957" w:rsidRPr="000A0093">
        <w:t xml:space="preserve"> </w:t>
      </w:r>
      <w:r w:rsidR="00F65206">
        <w:t xml:space="preserve">crescimento mundial </w:t>
      </w:r>
      <w:r w:rsidR="00906957" w:rsidRPr="000A0093">
        <w:t>seria indicador de otimismo e tenderia</w:t>
      </w:r>
      <w:r w:rsidRPr="000A0093">
        <w:t xml:space="preserve"> a </w:t>
      </w:r>
      <w:r w:rsidR="00566484" w:rsidRPr="000A0093">
        <w:t>incentiva</w:t>
      </w:r>
      <w:r w:rsidR="001C42BA" w:rsidRPr="000A0093">
        <w:t>r</w:t>
      </w:r>
      <w:r w:rsidR="00566484" w:rsidRPr="000A0093">
        <w:t xml:space="preserve"> </w:t>
      </w:r>
      <w:r w:rsidRPr="000A0093">
        <w:t>investimento</w:t>
      </w:r>
      <w:r w:rsidR="00566484" w:rsidRPr="000A0093">
        <w:t>s</w:t>
      </w:r>
      <w:r w:rsidRPr="000A0093">
        <w:t xml:space="preserve"> em mercados que ofereçam maior rentabilidade em detrimento da menor liquidez, como os mercados monetários, cambiais e financeiros</w:t>
      </w:r>
      <w:r w:rsidR="00906957" w:rsidRPr="000A0093">
        <w:t xml:space="preserve"> dos países em desenvolvimento. Ele </w:t>
      </w:r>
      <w:r w:rsidR="00620BCC">
        <w:t>também deveria</w:t>
      </w:r>
      <w:r w:rsidRPr="000A0093">
        <w:t xml:space="preserve"> impactar positivamente nos fluxos de capitais por meio do efeito de acréscimo na riqueza, seja ela decorrente da elevação do</w:t>
      </w:r>
      <w:r w:rsidR="00566484" w:rsidRPr="000A0093">
        <w:t>s</w:t>
      </w:r>
      <w:r w:rsidRPr="000A0093">
        <w:t xml:space="preserve"> preço</w:t>
      </w:r>
      <w:r w:rsidR="00566484" w:rsidRPr="000A0093">
        <w:t>s</w:t>
      </w:r>
      <w:r w:rsidRPr="000A0093">
        <w:t xml:space="preserve"> d</w:t>
      </w:r>
      <w:r w:rsidR="00566484" w:rsidRPr="000A0093">
        <w:t>os</w:t>
      </w:r>
      <w:r w:rsidRPr="000A0093">
        <w:t xml:space="preserve"> ativos negociados nos mercados acionários, seja por meio do aumento total de riqueza proporcionado pelo crescimento econômico corrente.</w:t>
      </w:r>
    </w:p>
    <w:p w14:paraId="4AF0F756" w14:textId="14C8776E" w:rsidR="001137B7" w:rsidRDefault="001137B7" w:rsidP="001137B7">
      <w:pPr>
        <w:autoSpaceDE w:val="0"/>
        <w:spacing w:line="480" w:lineRule="auto"/>
        <w:ind w:firstLine="851"/>
      </w:pPr>
      <w:r>
        <w:t>A utilização das variáveis</w:t>
      </w:r>
      <w:r w:rsidRPr="000A0093">
        <w:t xml:space="preserve"> </w:t>
      </w:r>
      <w:proofErr w:type="spellStart"/>
      <w:r w:rsidRPr="000A0093">
        <w:rPr>
          <w:i/>
        </w:rPr>
        <w:t>juros</w:t>
      </w:r>
      <w:r>
        <w:rPr>
          <w:i/>
        </w:rPr>
        <w:t>d</w:t>
      </w:r>
      <w:proofErr w:type="spellEnd"/>
      <w:r w:rsidRPr="000A0093">
        <w:t xml:space="preserve"> e </w:t>
      </w:r>
      <w:r w:rsidRPr="000A0093">
        <w:rPr>
          <w:i/>
        </w:rPr>
        <w:t>reservas</w:t>
      </w:r>
      <w:r w:rsidRPr="000A0093">
        <w:t xml:space="preserve"> </w:t>
      </w:r>
      <w:proofErr w:type="gramStart"/>
      <w:r>
        <w:t>é decorrente</w:t>
      </w:r>
      <w:proofErr w:type="gramEnd"/>
      <w:r w:rsidRPr="000A0093">
        <w:t xml:space="preserve"> </w:t>
      </w:r>
      <w:r>
        <w:t>das</w:t>
      </w:r>
      <w:r w:rsidRPr="000A0093">
        <w:t xml:space="preserve"> limitações na disponibilidade de informações. No caso da primeira variável, no âmbito de </w:t>
      </w:r>
      <w:proofErr w:type="gramStart"/>
      <w:r w:rsidRPr="000A0093">
        <w:t>todas</w:t>
      </w:r>
      <w:proofErr w:type="gramEnd"/>
      <w:r w:rsidRPr="000A0093">
        <w:t xml:space="preserve"> taxas de juros, as taxas incidentes sobre os depósitos apresentou a maior disponibilidade para os países da amostra no período analisado. Já a escolha do endividamento externo como denominador para as reservas explica-se pela falta de dados para o cálculo do passivo externo líquido para a maior parte dos países no período em questão.</w:t>
      </w:r>
    </w:p>
    <w:p w14:paraId="3469DECA" w14:textId="4C99A792" w:rsidR="001137B7" w:rsidRDefault="001137B7" w:rsidP="00FC2664">
      <w:pPr>
        <w:autoSpaceDE w:val="0"/>
        <w:spacing w:line="480" w:lineRule="auto"/>
        <w:ind w:firstLine="851"/>
      </w:pPr>
      <w:proofErr w:type="gramStart"/>
      <w:r w:rsidRPr="00804E0A">
        <w:t>Cabe</w:t>
      </w:r>
      <w:proofErr w:type="gramEnd"/>
      <w:r w:rsidR="004F366B" w:rsidRPr="00804E0A">
        <w:t xml:space="preserve"> </w:t>
      </w:r>
      <w:r w:rsidRPr="00804E0A">
        <w:t>ainda</w:t>
      </w:r>
      <w:r w:rsidR="000C26C1" w:rsidRPr="00804E0A">
        <w:t xml:space="preserve"> explicações para </w:t>
      </w:r>
      <w:r w:rsidR="006F788A" w:rsidRPr="00804E0A">
        <w:t>seleção</w:t>
      </w:r>
      <w:r w:rsidR="000C26C1" w:rsidRPr="00804E0A">
        <w:t xml:space="preserve"> de certas variáveis e pela não inclusão de </w:t>
      </w:r>
      <w:r w:rsidR="006F788A" w:rsidRPr="00804E0A">
        <w:t>outras</w:t>
      </w:r>
      <w:r w:rsidR="000C26C1" w:rsidRPr="00804E0A">
        <w:t>. A</w:t>
      </w:r>
      <w:r w:rsidRPr="00804E0A">
        <w:t xml:space="preserve"> adição </w:t>
      </w:r>
      <w:r w:rsidR="000C26C1" w:rsidRPr="00804E0A">
        <w:t>de muitas variáveis</w:t>
      </w:r>
      <w:r w:rsidRPr="00804E0A">
        <w:t xml:space="preserve"> </w:t>
      </w:r>
      <w:r w:rsidR="000C26C1" w:rsidRPr="00804E0A">
        <w:t>to</w:t>
      </w:r>
      <w:r w:rsidRPr="00804E0A">
        <w:t>rnaria excessivo o número de variáveis explicativas e sendo assim, violaria o princípio da parcim</w:t>
      </w:r>
      <w:r w:rsidR="006F788A" w:rsidRPr="00804E0A">
        <w:t>ônia e prejudicaria o poder da análise.</w:t>
      </w:r>
      <w:r w:rsidR="00902D7B" w:rsidRPr="00804E0A">
        <w:t xml:space="preserve"> </w:t>
      </w:r>
    </w:p>
    <w:p w14:paraId="21A40020" w14:textId="1C7A5D53" w:rsidR="00134186" w:rsidRDefault="00587AFB" w:rsidP="00134186">
      <w:pPr>
        <w:tabs>
          <w:tab w:val="left" w:pos="5660"/>
        </w:tabs>
        <w:autoSpaceDE w:val="0"/>
        <w:spacing w:line="480" w:lineRule="auto"/>
        <w:ind w:firstLine="851"/>
      </w:pPr>
      <w:r>
        <w:t>Em termos da variável que representa a vulnerabilidade externa, a</w:t>
      </w:r>
      <w:r w:rsidR="001137B7">
        <w:t xml:space="preserve"> </w:t>
      </w:r>
      <w:r w:rsidR="00E53DD0">
        <w:t xml:space="preserve">já </w:t>
      </w:r>
      <w:r w:rsidR="001137B7">
        <w:t xml:space="preserve">utilização do endividamento externo no denominador das reservas facilitou </w:t>
      </w:r>
      <w:r w:rsidR="006F788A">
        <w:t>a opção</w:t>
      </w:r>
      <w:r w:rsidR="00134186">
        <w:t xml:space="preserve"> </w:t>
      </w:r>
      <w:r w:rsidR="006F788A">
        <w:t>pela</w:t>
      </w:r>
      <w:r w:rsidR="00134186">
        <w:t xml:space="preserve"> </w:t>
      </w:r>
      <w:r w:rsidR="006F788A">
        <w:t xml:space="preserve">variável de </w:t>
      </w:r>
      <w:r w:rsidR="00134186">
        <w:t xml:space="preserve">transações </w:t>
      </w:r>
      <w:r w:rsidR="00134186">
        <w:lastRenderedPageBreak/>
        <w:t xml:space="preserve">correntes sobre o PIB </w:t>
      </w:r>
      <w:r w:rsidR="006F788A">
        <w:t>em detrimento</w:t>
      </w:r>
      <w:r w:rsidR="00134186">
        <w:t xml:space="preserve"> endividamento externo sobre as exportações. A</w:t>
      </w:r>
      <w:r w:rsidR="00F844F7">
        <w:t>lém disso, a</w:t>
      </w:r>
      <w:r w:rsidR="00134186">
        <w:t xml:space="preserve"> primeira possui a vantagem de refletir tanto a questão da disponibilidade de divisa corrente, dado a necessidade em se suprir os déficits na conta corrente por meio de reservas ou fluxos financeiros, como também no passivo externo futuro. Ademais, as simulações apontaram significância </w:t>
      </w:r>
      <w:r w:rsidR="00EF738C">
        <w:t xml:space="preserve">estatística </w:t>
      </w:r>
      <w:r w:rsidR="00134186">
        <w:t>apenas para es</w:t>
      </w:r>
      <w:r w:rsidR="00F844F7">
        <w:t>s</w:t>
      </w:r>
      <w:r w:rsidR="00134186">
        <w:t xml:space="preserve">a variável. </w:t>
      </w:r>
    </w:p>
    <w:p w14:paraId="7583B8CE" w14:textId="3316E310" w:rsidR="000D2443" w:rsidRDefault="00D25E56" w:rsidP="00D25E56">
      <w:pPr>
        <w:autoSpaceDE w:val="0"/>
        <w:spacing w:line="480" w:lineRule="auto"/>
        <w:ind w:firstLine="851"/>
      </w:pPr>
      <w:r>
        <w:t xml:space="preserve">No que diz respeito à escolha da taxa de juros externa, </w:t>
      </w:r>
      <w:r w:rsidR="000D2443">
        <w:t xml:space="preserve">utilizou-se </w:t>
      </w:r>
      <w:r>
        <w:t>três</w:t>
      </w:r>
      <w:r w:rsidR="000D2443">
        <w:t xml:space="preserve"> c</w:t>
      </w:r>
      <w:r>
        <w:t xml:space="preserve">ritérios: teóricos/analíticos, </w:t>
      </w:r>
      <w:r w:rsidR="000D2443">
        <w:t>simulações com diferentes combinações de variáveis</w:t>
      </w:r>
      <w:r>
        <w:t xml:space="preserve"> e</w:t>
      </w:r>
      <w:r w:rsidR="000D2443">
        <w:t xml:space="preserve"> pelo teste de </w:t>
      </w:r>
      <w:proofErr w:type="spellStart"/>
      <w:r w:rsidR="000D2443">
        <w:t>multicolinearidade</w:t>
      </w:r>
      <w:proofErr w:type="spellEnd"/>
      <w:r w:rsidR="000D2443">
        <w:t xml:space="preserve">. O teste do </w:t>
      </w:r>
      <w:r w:rsidR="000D2443" w:rsidRPr="00424670">
        <w:t>fator inflacionário da variância (FIV</w:t>
      </w:r>
      <w:r w:rsidR="000D2443">
        <w:t xml:space="preserve"> ou VIF na sigla em inglês</w:t>
      </w:r>
      <w:r w:rsidR="000D2443" w:rsidRPr="00424670">
        <w:t>)</w:t>
      </w:r>
      <w:r w:rsidR="000D2443">
        <w:t xml:space="preserve"> pelo comando </w:t>
      </w:r>
      <w:proofErr w:type="spellStart"/>
      <w:r w:rsidR="000D2443" w:rsidRPr="00424670">
        <w:rPr>
          <w:i/>
        </w:rPr>
        <w:t>vif</w:t>
      </w:r>
      <w:proofErr w:type="spellEnd"/>
      <w:r w:rsidR="000D2443">
        <w:t xml:space="preserve"> do </w:t>
      </w:r>
      <w:proofErr w:type="spellStart"/>
      <w:r w:rsidR="000D2443">
        <w:t>stata</w:t>
      </w:r>
      <w:proofErr w:type="spellEnd"/>
      <w:r w:rsidR="000D2443">
        <w:t xml:space="preserve"> indicou forte presença de </w:t>
      </w:r>
      <w:proofErr w:type="spellStart"/>
      <w:r w:rsidR="000D2443">
        <w:t>multicolinearidade</w:t>
      </w:r>
      <w:proofErr w:type="spellEnd"/>
      <w:r w:rsidR="000D2443">
        <w:t xml:space="preserve"> (VIF &gt; 10) entre as variáveis </w:t>
      </w:r>
      <w:proofErr w:type="spellStart"/>
      <w:r w:rsidR="000D2443" w:rsidRPr="00424670">
        <w:rPr>
          <w:i/>
        </w:rPr>
        <w:t>jgeua</w:t>
      </w:r>
      <w:proofErr w:type="spellEnd"/>
      <w:r w:rsidR="000D2443" w:rsidRPr="00424670">
        <w:rPr>
          <w:i/>
        </w:rPr>
        <w:t xml:space="preserve">, </w:t>
      </w:r>
      <w:proofErr w:type="spellStart"/>
      <w:r w:rsidR="000D2443" w:rsidRPr="00424670">
        <w:rPr>
          <w:i/>
        </w:rPr>
        <w:t>jteua</w:t>
      </w:r>
      <w:proofErr w:type="spellEnd"/>
      <w:r w:rsidR="000D2443" w:rsidRPr="00424670">
        <w:rPr>
          <w:i/>
        </w:rPr>
        <w:t xml:space="preserve"> e </w:t>
      </w:r>
      <w:proofErr w:type="spellStart"/>
      <w:r w:rsidR="000D2443" w:rsidRPr="00424670">
        <w:rPr>
          <w:i/>
        </w:rPr>
        <w:t>dowjones</w:t>
      </w:r>
      <w:proofErr w:type="spellEnd"/>
      <w:r w:rsidR="000D2443">
        <w:t xml:space="preserve">, e entre </w:t>
      </w:r>
      <w:proofErr w:type="spellStart"/>
      <w:r w:rsidR="000D2443" w:rsidRPr="00424670">
        <w:rPr>
          <w:i/>
        </w:rPr>
        <w:t>ffr</w:t>
      </w:r>
      <w:proofErr w:type="spellEnd"/>
      <w:r w:rsidR="000D2443">
        <w:t xml:space="preserve"> e </w:t>
      </w:r>
      <w:proofErr w:type="spellStart"/>
      <w:r w:rsidR="000D2443" w:rsidRPr="00424670">
        <w:rPr>
          <w:i/>
        </w:rPr>
        <w:t>jteua</w:t>
      </w:r>
      <w:proofErr w:type="spellEnd"/>
      <w:r w:rsidR="000D2443">
        <w:t xml:space="preserve">. A presença de </w:t>
      </w:r>
      <w:proofErr w:type="spellStart"/>
      <w:r w:rsidR="000D2443">
        <w:t>multicolinearidade</w:t>
      </w:r>
      <w:proofErr w:type="spellEnd"/>
      <w:r w:rsidR="000D2443">
        <w:t xml:space="preserve"> não afeta a consistência do modelo, mas pode fazer com que os testes de significância percam em eficiência e até mesmo inverter o sinal esperado. </w:t>
      </w:r>
      <w:r w:rsidR="008C2770">
        <w:t>Testaram-se</w:t>
      </w:r>
      <w:r w:rsidR="000D2443">
        <w:t xml:space="preserve"> diferentes combinações entre as taxas de juros dos EUA e apenas a taxa básica de juros, </w:t>
      </w:r>
      <w:proofErr w:type="spellStart"/>
      <w:r w:rsidR="000D2443" w:rsidRPr="003A5A1D">
        <w:rPr>
          <w:i/>
        </w:rPr>
        <w:t>ffr</w:t>
      </w:r>
      <w:proofErr w:type="spellEnd"/>
      <w:r w:rsidR="000D2443">
        <w:t>, se mostrou significativa. A significância da taxa de juros de curto prazo é condizente com o caráter de curto prazo dos fluxos de capitais contemporâneos, tal como desenvolvido na primeira seção.</w:t>
      </w:r>
    </w:p>
    <w:p w14:paraId="369E79D9" w14:textId="1A835DD2" w:rsidR="00D412BC" w:rsidRPr="00EF738C" w:rsidRDefault="00EF32F6" w:rsidP="00EF32F6">
      <w:pPr>
        <w:spacing w:line="480" w:lineRule="auto"/>
        <w:ind w:firstLine="851"/>
      </w:pPr>
      <w:r>
        <w:t xml:space="preserve"> </w:t>
      </w:r>
      <w:r w:rsidR="00C91EA9">
        <w:t>I</w:t>
      </w:r>
      <w:r w:rsidR="00D412BC">
        <w:t xml:space="preserve">ndicadores de endividamento interno e taxa de inflação </w:t>
      </w:r>
      <w:r w:rsidR="00C91EA9">
        <w:t>são frequente</w:t>
      </w:r>
      <w:r w:rsidR="00ED0255">
        <w:t>mente</w:t>
      </w:r>
      <w:r w:rsidR="00C91EA9">
        <w:t xml:space="preserve"> colocados pelo </w:t>
      </w:r>
      <w:proofErr w:type="spellStart"/>
      <w:r w:rsidR="00C91EA9" w:rsidRPr="00C91EA9">
        <w:rPr>
          <w:i/>
        </w:rPr>
        <w:t>mainstream</w:t>
      </w:r>
      <w:proofErr w:type="spellEnd"/>
      <w:r w:rsidR="00C91EA9" w:rsidRPr="00C91EA9">
        <w:rPr>
          <w:i/>
        </w:rPr>
        <w:t xml:space="preserve"> </w:t>
      </w:r>
      <w:proofErr w:type="spellStart"/>
      <w:r w:rsidR="00C91EA9" w:rsidRPr="00C91EA9">
        <w:rPr>
          <w:i/>
        </w:rPr>
        <w:t>economics</w:t>
      </w:r>
      <w:proofErr w:type="spellEnd"/>
      <w:r w:rsidR="00B57A8B">
        <w:t xml:space="preserve">, </w:t>
      </w:r>
      <w:r w:rsidR="00C91EA9">
        <w:t xml:space="preserve">veículos de mídia especializados </w:t>
      </w:r>
      <w:r w:rsidR="00B57A8B">
        <w:t>e agências de risco</w:t>
      </w:r>
      <w:r w:rsidR="008C2770">
        <w:rPr>
          <w:rStyle w:val="Refdenotaderodap"/>
        </w:rPr>
        <w:footnoteReference w:id="10"/>
      </w:r>
      <w:r w:rsidR="00B57A8B">
        <w:t xml:space="preserve">, </w:t>
      </w:r>
      <w:r w:rsidR="008C2770">
        <w:t>c</w:t>
      </w:r>
      <w:r w:rsidR="00B57A8B">
        <w:t xml:space="preserve">omo </w:t>
      </w:r>
      <w:r w:rsidR="00C91EA9">
        <w:t xml:space="preserve">determinantes para </w:t>
      </w:r>
      <w:r w:rsidR="00ED0255">
        <w:t xml:space="preserve">influxo de capitais. Entretanto, </w:t>
      </w:r>
      <w:r w:rsidR="00F702B9">
        <w:t xml:space="preserve">alguns fatores levaram </w:t>
      </w:r>
      <w:r>
        <w:t>a</w:t>
      </w:r>
      <w:r w:rsidR="00F702B9">
        <w:t xml:space="preserve"> sua não adoção, além da questão da parcimônia. Primeiramente, </w:t>
      </w:r>
      <w:r w:rsidR="00ED0255">
        <w:t>a revis</w:t>
      </w:r>
      <w:r w:rsidR="00F702B9">
        <w:t>ão da literatura empírica não os apontou como fatores determinantes para os fluxos de capitais direcionados aos países em desenvolvimento</w:t>
      </w:r>
      <w:r w:rsidR="00ED0255">
        <w:t>.</w:t>
      </w:r>
      <w:r w:rsidR="00CA312D">
        <w:t xml:space="preserve"> </w:t>
      </w:r>
      <w:r w:rsidR="00EF738C">
        <w:t xml:space="preserve">O mesmo ocorreu com as simulações realizadas. </w:t>
      </w:r>
      <w:r w:rsidR="00145DF0">
        <w:t>Posteriormente, e</w:t>
      </w:r>
      <w:r w:rsidR="00B57A8B">
        <w:t xml:space="preserve">m relação ao endividamento interno, </w:t>
      </w:r>
      <w:r w:rsidR="008E59E0">
        <w:t>compreende</w:t>
      </w:r>
      <w:r w:rsidR="00B57A8B">
        <w:t xml:space="preserve">-se que </w:t>
      </w:r>
      <w:r w:rsidR="00CA312D">
        <w:t>ele</w:t>
      </w:r>
      <w:r w:rsidR="00B57A8B">
        <w:t xml:space="preserve"> pode ser pag</w:t>
      </w:r>
      <w:r w:rsidR="00CA312D">
        <w:t>o</w:t>
      </w:r>
      <w:r w:rsidR="00B57A8B">
        <w:t xml:space="preserve"> pela própria moeda e não representaria um obstáculo significativo para os investidores</w:t>
      </w:r>
      <w:r w:rsidR="008E59E0">
        <w:t xml:space="preserve"> externos</w:t>
      </w:r>
      <w:r w:rsidR="00B57A8B">
        <w:t xml:space="preserve">. </w:t>
      </w:r>
      <w:r w:rsidR="00CA312D">
        <w:t>Já a</w:t>
      </w:r>
      <w:r w:rsidR="00D412BC">
        <w:t xml:space="preserve"> influência da inflação para os agentes privados globais seria</w:t>
      </w:r>
      <w:r w:rsidR="00CA312D">
        <w:t xml:space="preserve"> apenas indireta,</w:t>
      </w:r>
      <w:r w:rsidR="00D412BC">
        <w:t xml:space="preserve"> pela necessidade de repasse do aumento dos preços para a taxa de </w:t>
      </w:r>
      <w:r w:rsidR="00D412BC">
        <w:lastRenderedPageBreak/>
        <w:t>câmbio</w:t>
      </w:r>
      <w:r w:rsidR="008E59E0">
        <w:t>, o que dificulta sua observação estatística</w:t>
      </w:r>
      <w:r w:rsidR="00D412BC">
        <w:t xml:space="preserve">. </w:t>
      </w:r>
      <w:r w:rsidR="008E59E0">
        <w:t>No caso do presente trabalho, c</w:t>
      </w:r>
      <w:r w:rsidR="00D412BC">
        <w:t>omo esta já está presente na regressão</w:t>
      </w:r>
      <w:r w:rsidR="00CA312D">
        <w:t>, reforça-se</w:t>
      </w:r>
      <w:r w:rsidR="00D412BC">
        <w:t xml:space="preserve"> </w:t>
      </w:r>
      <w:r w:rsidR="00CA312D">
        <w:t>a possibilidade de não inclu</w:t>
      </w:r>
      <w:r w:rsidR="008E59E0">
        <w:t>ir a inflação</w:t>
      </w:r>
      <w:r w:rsidR="00D412BC">
        <w:t xml:space="preserve"> </w:t>
      </w:r>
      <w:r w:rsidR="00CA312D">
        <w:t>no</w:t>
      </w:r>
      <w:r w:rsidR="00D412BC">
        <w:t xml:space="preserve"> modelo</w:t>
      </w:r>
      <w:r w:rsidR="00D412BC">
        <w:rPr>
          <w:i/>
        </w:rPr>
        <w:t xml:space="preserve">. </w:t>
      </w:r>
    </w:p>
    <w:p w14:paraId="32BF8349" w14:textId="2CA65907" w:rsidR="00CA312D" w:rsidRDefault="00CA312D" w:rsidP="00804E0A">
      <w:pPr>
        <w:spacing w:line="480" w:lineRule="auto"/>
        <w:ind w:firstLine="851"/>
      </w:pPr>
      <w:r w:rsidRPr="004024E2">
        <w:t xml:space="preserve">Prosseguindo com o critério de parcimônia na escolha das variáveis, optou-se por </w:t>
      </w:r>
      <w:r w:rsidR="00145DF0" w:rsidRPr="004024E2">
        <w:t>não incluir algum</w:t>
      </w:r>
      <w:r w:rsidRPr="004024E2">
        <w:t xml:space="preserve"> indicador de abertura financeira.</w:t>
      </w:r>
      <w:r w:rsidR="004024E2" w:rsidRPr="004024E2">
        <w:t xml:space="preserve"> Os </w:t>
      </w:r>
      <w:r w:rsidR="004024E2">
        <w:t>indicadores de abertura mais utilizado</w:t>
      </w:r>
      <w:r w:rsidR="00BD2A35">
        <w:t>s</w:t>
      </w:r>
      <w:r w:rsidR="004024E2">
        <w:t xml:space="preserve"> na literatura especializada são os que se baseiam no </w:t>
      </w:r>
      <w:proofErr w:type="spellStart"/>
      <w:r w:rsidR="004024E2" w:rsidRPr="000A0093">
        <w:rPr>
          <w:i/>
        </w:rPr>
        <w:t>Annual</w:t>
      </w:r>
      <w:proofErr w:type="spellEnd"/>
      <w:r w:rsidR="004024E2" w:rsidRPr="000A0093">
        <w:rPr>
          <w:i/>
        </w:rPr>
        <w:t xml:space="preserve"> </w:t>
      </w:r>
      <w:proofErr w:type="spellStart"/>
      <w:r w:rsidR="004024E2" w:rsidRPr="000A0093">
        <w:rPr>
          <w:i/>
        </w:rPr>
        <w:t>Report</w:t>
      </w:r>
      <w:proofErr w:type="spellEnd"/>
      <w:r w:rsidR="004024E2" w:rsidRPr="000A0093">
        <w:rPr>
          <w:i/>
        </w:rPr>
        <w:t xml:space="preserve"> </w:t>
      </w:r>
      <w:proofErr w:type="spellStart"/>
      <w:r w:rsidR="004024E2" w:rsidRPr="000A0093">
        <w:rPr>
          <w:i/>
        </w:rPr>
        <w:t>on</w:t>
      </w:r>
      <w:proofErr w:type="spellEnd"/>
      <w:r w:rsidR="004024E2" w:rsidRPr="000A0093">
        <w:rPr>
          <w:i/>
        </w:rPr>
        <w:t xml:space="preserve"> Exchange </w:t>
      </w:r>
      <w:proofErr w:type="spellStart"/>
      <w:r w:rsidR="004024E2" w:rsidRPr="000A0093">
        <w:rPr>
          <w:i/>
        </w:rPr>
        <w:t>Arrangements</w:t>
      </w:r>
      <w:proofErr w:type="spellEnd"/>
      <w:r w:rsidR="004024E2" w:rsidRPr="000A0093">
        <w:rPr>
          <w:i/>
        </w:rPr>
        <w:t xml:space="preserve"> </w:t>
      </w:r>
      <w:proofErr w:type="spellStart"/>
      <w:r w:rsidR="004024E2" w:rsidRPr="000A0093">
        <w:rPr>
          <w:i/>
        </w:rPr>
        <w:t>and</w:t>
      </w:r>
      <w:proofErr w:type="spellEnd"/>
      <w:r w:rsidR="004024E2" w:rsidRPr="000A0093">
        <w:rPr>
          <w:i/>
        </w:rPr>
        <w:t xml:space="preserve"> Exchange </w:t>
      </w:r>
      <w:proofErr w:type="spellStart"/>
      <w:r w:rsidR="004024E2" w:rsidRPr="000A0093">
        <w:rPr>
          <w:i/>
        </w:rPr>
        <w:t>Restrictions</w:t>
      </w:r>
      <w:proofErr w:type="spellEnd"/>
      <w:r w:rsidR="004024E2" w:rsidRPr="000A0093">
        <w:t xml:space="preserve"> (AREAER</w:t>
      </w:r>
      <w:proofErr w:type="gramStart"/>
      <w:r w:rsidR="004024E2" w:rsidRPr="000A0093">
        <w:t>)</w:t>
      </w:r>
      <w:proofErr w:type="gramEnd"/>
      <w:r w:rsidR="004024E2" w:rsidRPr="000A0093">
        <w:rPr>
          <w:vertAlign w:val="superscript"/>
        </w:rPr>
        <w:footnoteReference w:id="11"/>
      </w:r>
      <w:r w:rsidR="004024E2" w:rsidRPr="000A0093">
        <w:t xml:space="preserve"> do</w:t>
      </w:r>
      <w:r w:rsidR="00BD2A35">
        <w:t xml:space="preserve"> FMI, a exemplo </w:t>
      </w:r>
      <w:proofErr w:type="spellStart"/>
      <w:r w:rsidR="00BD2A35">
        <w:t>kaopen</w:t>
      </w:r>
      <w:proofErr w:type="spellEnd"/>
      <w:r w:rsidR="00BD2A35">
        <w:t xml:space="preserve">, </w:t>
      </w:r>
      <w:r w:rsidR="004024E2" w:rsidRPr="000A0093">
        <w:t>desenvolvido inicialmente em Chin e Ito (2008).</w:t>
      </w:r>
      <w:r w:rsidR="00BD2A35">
        <w:t xml:space="preserve"> </w:t>
      </w:r>
      <w:r w:rsidR="00804E0A">
        <w:t>Contudo</w:t>
      </w:r>
      <w:r w:rsidR="004024E2">
        <w:t>, há de se levar em conta que indicador</w:t>
      </w:r>
      <w:r w:rsidR="00BD2A35">
        <w:t>es</w:t>
      </w:r>
      <w:r w:rsidR="004024E2">
        <w:t xml:space="preserve"> </w:t>
      </w:r>
      <w:r w:rsidR="00BD2A35">
        <w:t>desse tipo não são</w:t>
      </w:r>
      <w:r w:rsidR="004024E2">
        <w:t xml:space="preserve"> suficiente</w:t>
      </w:r>
      <w:r w:rsidR="00BD2A35">
        <w:t>s</w:t>
      </w:r>
      <w:r w:rsidR="004024E2">
        <w:t xml:space="preserve"> para </w:t>
      </w:r>
      <w:r w:rsidR="00587AFB">
        <w:t>mensurar</w:t>
      </w:r>
      <w:r w:rsidR="004024E2">
        <w:t xml:space="preserve"> o grau de profundidade de inserção na globalização dos sistemas financeiros domésticos. </w:t>
      </w:r>
      <w:r w:rsidRPr="004024E2">
        <w:t>Por exemplo, a Coréia do Sul possuiu ao longo da série histórica índices que indicam menor grau de abertura, porém os bancos estrangeiros tinham uma importante participação no mercado financeiro desse país, sendo responsáveis pela intermediação de volume significativo de capitais externos. Casos semelhantes podem ser observados na Rússia, Chile e Brasil (Chan-</w:t>
      </w:r>
      <w:proofErr w:type="spellStart"/>
      <w:r w:rsidRPr="004024E2">
        <w:t>Lau</w:t>
      </w:r>
      <w:proofErr w:type="spellEnd"/>
      <w:r w:rsidRPr="004024E2">
        <w:t xml:space="preserve">, 2010; Conrad, 2009; Prates e Cintra, 2010; e World </w:t>
      </w:r>
      <w:proofErr w:type="spellStart"/>
      <w:r w:rsidRPr="004024E2">
        <w:t>Development</w:t>
      </w:r>
      <w:proofErr w:type="spellEnd"/>
      <w:r w:rsidRPr="004024E2">
        <w:t>, 2011). Ou seja, os índices baseados no AREAER não captam necessariamente a intensidade da abertura financeira.</w:t>
      </w:r>
      <w:r w:rsidR="00804E0A">
        <w:t xml:space="preserve"> Assim como as demais variáveis não incluídas no modelo explicadas acima, simulações com a </w:t>
      </w:r>
      <w:r w:rsidR="0036497C">
        <w:t>adição</w:t>
      </w:r>
      <w:r w:rsidR="00804E0A">
        <w:t xml:space="preserve"> da variável </w:t>
      </w:r>
      <w:proofErr w:type="spellStart"/>
      <w:r w:rsidR="00804E0A" w:rsidRPr="00804E0A">
        <w:rPr>
          <w:i/>
        </w:rPr>
        <w:t>kaopen</w:t>
      </w:r>
      <w:proofErr w:type="spellEnd"/>
      <w:r w:rsidR="00804E0A">
        <w:t xml:space="preserve"> sempre apontaram para insignificância estatística </w:t>
      </w:r>
      <w:r w:rsidR="00E853C4">
        <w:t>da mesma</w:t>
      </w:r>
      <w:r w:rsidR="00804E0A">
        <w:t xml:space="preserve">. </w:t>
      </w:r>
    </w:p>
    <w:p w14:paraId="4FD2C1B5" w14:textId="197D9AB2" w:rsidR="00E034FB" w:rsidRDefault="007F0EE8" w:rsidP="00E034FB">
      <w:pPr>
        <w:autoSpaceDE w:val="0"/>
        <w:spacing w:line="480" w:lineRule="auto"/>
        <w:ind w:firstLine="851"/>
        <w:rPr>
          <w:rFonts w:eastAsiaTheme="minorEastAsia"/>
          <w:bCs/>
          <w:szCs w:val="20"/>
          <w:lang w:eastAsia="pt-BR"/>
        </w:rPr>
      </w:pPr>
      <w:r>
        <w:rPr>
          <w:bCs/>
        </w:rPr>
        <w:t xml:space="preserve">Um último aspecto a ser levando em conta refere-se </w:t>
      </w:r>
      <w:proofErr w:type="gramStart"/>
      <w:r>
        <w:rPr>
          <w:bCs/>
        </w:rPr>
        <w:t>a</w:t>
      </w:r>
      <w:proofErr w:type="gramEnd"/>
      <w:r>
        <w:rPr>
          <w:bCs/>
        </w:rPr>
        <w:t xml:space="preserve"> escolha das variáveis em seus valores correntes como proxy para seus rendimentos futuros. Essa decisão se apoiou na premissa de Keynes (1937) sobre o comportamento dos agentes </w:t>
      </w:r>
      <w:r w:rsidR="00AF30CD">
        <w:rPr>
          <w:bCs/>
        </w:rPr>
        <w:t xml:space="preserve">privados globais </w:t>
      </w:r>
      <w:proofErr w:type="gramStart"/>
      <w:r>
        <w:rPr>
          <w:bCs/>
        </w:rPr>
        <w:t>sob condições</w:t>
      </w:r>
      <w:proofErr w:type="gramEnd"/>
      <w:r>
        <w:rPr>
          <w:bCs/>
        </w:rPr>
        <w:t xml:space="preserve"> de incerteza. Como comentado na primeira seção, agentes econômicos entendem que </w:t>
      </w:r>
      <w:r>
        <w:rPr>
          <w:rFonts w:eastAsiaTheme="minorEastAsia"/>
          <w:bCs/>
          <w:szCs w:val="20"/>
          <w:lang w:eastAsia="pt-BR"/>
        </w:rPr>
        <w:t>o presente é um melhor guia para o futuro do que as experiências passadas e</w:t>
      </w:r>
      <w:r w:rsidR="00F82B07">
        <w:rPr>
          <w:rFonts w:eastAsiaTheme="minorEastAsia"/>
          <w:bCs/>
          <w:szCs w:val="20"/>
          <w:lang w:eastAsia="pt-BR"/>
        </w:rPr>
        <w:t>,</w:t>
      </w:r>
      <w:r>
        <w:rPr>
          <w:rFonts w:eastAsiaTheme="minorEastAsia"/>
          <w:bCs/>
          <w:szCs w:val="20"/>
          <w:lang w:eastAsia="pt-BR"/>
        </w:rPr>
        <w:t xml:space="preserve"> </w:t>
      </w:r>
      <w:r w:rsidRPr="00C01954">
        <w:rPr>
          <w:rFonts w:eastAsiaTheme="minorEastAsia"/>
          <w:bCs/>
          <w:szCs w:val="20"/>
          <w:lang w:eastAsia="pt-BR"/>
        </w:rPr>
        <w:t>o 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w:t>
      </w:r>
      <w:r w:rsidR="00DC510A">
        <w:rPr>
          <w:rFonts w:eastAsiaTheme="minorEastAsia"/>
          <w:bCs/>
          <w:szCs w:val="20"/>
          <w:lang w:eastAsia="pt-BR"/>
        </w:rPr>
        <w:t>é</w:t>
      </w:r>
      <w:r w:rsidRPr="00C01954">
        <w:rPr>
          <w:rFonts w:eastAsiaTheme="minorEastAsia"/>
          <w:bCs/>
          <w:szCs w:val="20"/>
          <w:lang w:eastAsia="pt-BR"/>
        </w:rPr>
        <w:t xml:space="preserve"> em um </w:t>
      </w:r>
      <w:r w:rsidR="00DC510A">
        <w:rPr>
          <w:rFonts w:eastAsiaTheme="minorEastAsia"/>
          <w:bCs/>
          <w:szCs w:val="20"/>
          <w:lang w:eastAsia="pt-BR"/>
        </w:rPr>
        <w:t>indicativo</w:t>
      </w:r>
      <w:r w:rsidRPr="00C01954">
        <w:rPr>
          <w:rFonts w:eastAsiaTheme="minorEastAsia"/>
          <w:bCs/>
          <w:szCs w:val="20"/>
          <w:lang w:eastAsia="pt-BR"/>
        </w:rPr>
        <w:t xml:space="preserve"> correto das perspectivas futuras</w:t>
      </w:r>
      <w:r w:rsidR="00DC510A">
        <w:rPr>
          <w:rFonts w:eastAsiaTheme="minorEastAsia"/>
          <w:bCs/>
          <w:szCs w:val="20"/>
          <w:lang w:eastAsia="pt-BR"/>
        </w:rPr>
        <w:t>.</w:t>
      </w:r>
    </w:p>
    <w:p w14:paraId="635E2CFF" w14:textId="02A45956" w:rsidR="00101BA8" w:rsidRPr="000A0093" w:rsidRDefault="00CA7FA9" w:rsidP="00E034FB">
      <w:pPr>
        <w:autoSpaceDE w:val="0"/>
        <w:spacing w:line="480" w:lineRule="auto"/>
        <w:ind w:firstLine="851"/>
        <w:rPr>
          <w:bCs/>
        </w:rPr>
      </w:pPr>
      <w:r w:rsidRPr="000A0093">
        <w:rPr>
          <w:bCs/>
        </w:rPr>
        <w:t>A técnica de análise é a de dados em painel</w:t>
      </w:r>
      <w:r w:rsidRPr="000A0093">
        <w:rPr>
          <w:rStyle w:val="Refdenotaderodap"/>
          <w:bCs/>
        </w:rPr>
        <w:footnoteReference w:id="12"/>
      </w:r>
      <w:r w:rsidRPr="000A0093">
        <w:rPr>
          <w:bCs/>
        </w:rPr>
        <w:t xml:space="preserve">, pois permite estimar em conjunto os determinantes dos fluxos de capitais não produtivos para 42 </w:t>
      </w:r>
      <w:r w:rsidRPr="00B95855">
        <w:rPr>
          <w:bCs/>
        </w:rPr>
        <w:t xml:space="preserve">países </w:t>
      </w:r>
      <w:r w:rsidR="00E1579C" w:rsidRPr="00B95855">
        <w:rPr>
          <w:bCs/>
        </w:rPr>
        <w:t>em desenvolvimento</w:t>
      </w:r>
      <w:r w:rsidRPr="000A0093">
        <w:rPr>
          <w:bCs/>
          <w:vertAlign w:val="superscript"/>
        </w:rPr>
        <w:footnoteReference w:id="13"/>
      </w:r>
      <w:r w:rsidRPr="000A0093">
        <w:rPr>
          <w:bCs/>
        </w:rPr>
        <w:t xml:space="preserve"> da África, </w:t>
      </w:r>
      <w:r w:rsidRPr="000A0093">
        <w:rPr>
          <w:bCs/>
        </w:rPr>
        <w:lastRenderedPageBreak/>
        <w:t>das Américas, da Ásia e da Europa entre 19</w:t>
      </w:r>
      <w:r w:rsidR="00D179E9">
        <w:rPr>
          <w:bCs/>
        </w:rPr>
        <w:t>90</w:t>
      </w:r>
      <w:r w:rsidRPr="000A0093">
        <w:rPr>
          <w:bCs/>
        </w:rPr>
        <w:t xml:space="preserve"> e 2008</w:t>
      </w:r>
      <w:r w:rsidRPr="000A0093">
        <w:rPr>
          <w:bCs/>
          <w:vertAlign w:val="superscript"/>
        </w:rPr>
        <w:footnoteReference w:id="14"/>
      </w:r>
      <w:r w:rsidRPr="000A0093">
        <w:rPr>
          <w:bCs/>
        </w:rPr>
        <w:t>. Deste modo</w:t>
      </w:r>
      <w:r w:rsidR="00101BA8" w:rsidRPr="000A0093">
        <w:rPr>
          <w:bCs/>
        </w:rPr>
        <w:t>, optou-se pelo seguinte modelo:</w:t>
      </w:r>
    </w:p>
    <w:p w14:paraId="2EF11039" w14:textId="4AF84CFC" w:rsidR="00463ADD" w:rsidRPr="00A2455E" w:rsidRDefault="00463ADD" w:rsidP="00F82B07">
      <w:pPr>
        <w:tabs>
          <w:tab w:val="left" w:pos="851"/>
        </w:tabs>
        <w:spacing w:line="240" w:lineRule="auto"/>
        <w:rPr>
          <w:bCs/>
          <w:i/>
          <w:vertAlign w:val="subscript"/>
        </w:rPr>
      </w:pPr>
      <w:r w:rsidRPr="00A2455E">
        <w:rPr>
          <w:bCs/>
        </w:rPr>
        <w:t xml:space="preserve">(1) </w:t>
      </w:r>
      <w:proofErr w:type="spellStart"/>
      <w:r w:rsidRPr="00A2455E">
        <w:rPr>
          <w:bCs/>
        </w:rPr>
        <w:t>fdek</w:t>
      </w:r>
      <w:r w:rsidRPr="00A2455E">
        <w:rPr>
          <w:bCs/>
          <w:vertAlign w:val="subscript"/>
        </w:rPr>
        <w:t>it</w:t>
      </w:r>
      <w:proofErr w:type="spellEnd"/>
      <w:r w:rsidRPr="00A2455E">
        <w:rPr>
          <w:bCs/>
        </w:rPr>
        <w:t xml:space="preserve">= </w:t>
      </w:r>
      <w:r w:rsidRPr="00A2455E">
        <w:rPr>
          <w:bCs/>
          <w:i/>
        </w:rPr>
        <w:t>β</w:t>
      </w:r>
      <w:r w:rsidRPr="00A2455E">
        <w:rPr>
          <w:bCs/>
          <w:i/>
          <w:vertAlign w:val="subscript"/>
        </w:rPr>
        <w:t>0</w:t>
      </w:r>
      <w:r w:rsidRPr="00A2455E">
        <w:rPr>
          <w:bCs/>
        </w:rPr>
        <w:t xml:space="preserve"> + </w:t>
      </w:r>
      <w:r w:rsidRPr="00A2455E">
        <w:rPr>
          <w:bCs/>
          <w:i/>
        </w:rPr>
        <w:t>β</w:t>
      </w:r>
      <w:r w:rsidRPr="00A2455E">
        <w:rPr>
          <w:bCs/>
          <w:vertAlign w:val="subscript"/>
        </w:rPr>
        <w:t>1</w:t>
      </w:r>
      <w:r w:rsidRPr="00A2455E">
        <w:rPr>
          <w:bCs/>
        </w:rPr>
        <w:t>vix</w:t>
      </w:r>
      <w:r w:rsidRPr="00A2455E">
        <w:rPr>
          <w:bCs/>
          <w:vertAlign w:val="subscript"/>
        </w:rPr>
        <w:t>t</w:t>
      </w:r>
      <w:r w:rsidRPr="00A2455E">
        <w:rPr>
          <w:bCs/>
        </w:rPr>
        <w:t xml:space="preserve"> +</w:t>
      </w:r>
      <w:r w:rsidRPr="00A2455E">
        <w:rPr>
          <w:bCs/>
          <w:i/>
        </w:rPr>
        <w:t xml:space="preserve"> β</w:t>
      </w:r>
      <w:r w:rsidRPr="00A2455E">
        <w:rPr>
          <w:bCs/>
          <w:vertAlign w:val="subscript"/>
        </w:rPr>
        <w:t>2</w:t>
      </w:r>
      <w:r w:rsidRPr="00A2455E">
        <w:rPr>
          <w:bCs/>
        </w:rPr>
        <w:t>dowjones</w:t>
      </w:r>
      <w:r w:rsidRPr="00A2455E">
        <w:rPr>
          <w:bCs/>
          <w:vertAlign w:val="subscript"/>
        </w:rPr>
        <w:t>t</w:t>
      </w:r>
      <w:r w:rsidRPr="00A2455E">
        <w:rPr>
          <w:bCs/>
        </w:rPr>
        <w:t xml:space="preserve"> +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w:t>
      </w:r>
      <w:r w:rsidRPr="00A2455E">
        <w:rPr>
          <w:bCs/>
          <w:vertAlign w:val="subscript"/>
        </w:rPr>
        <w:t xml:space="preserve"> </w:t>
      </w:r>
      <w:r w:rsidRPr="00A2455E">
        <w:rPr>
          <w:bCs/>
          <w:i/>
        </w:rPr>
        <w:t>β</w:t>
      </w:r>
      <w:r w:rsidR="00804E0A">
        <w:rPr>
          <w:bCs/>
          <w:vertAlign w:val="subscript"/>
        </w:rPr>
        <w:t>5</w:t>
      </w:r>
      <w:r w:rsidRPr="00A2455E">
        <w:rPr>
          <w:bCs/>
        </w:rPr>
        <w:t>jurosd</w:t>
      </w:r>
      <w:r w:rsidRPr="00A2455E">
        <w:rPr>
          <w:bCs/>
          <w:vertAlign w:val="subscript"/>
        </w:rPr>
        <w:t>it</w:t>
      </w:r>
      <w:r w:rsidRPr="00A2455E">
        <w:rPr>
          <w:bCs/>
        </w:rPr>
        <w:t xml:space="preserve"> + </w:t>
      </w:r>
      <w:r w:rsidRPr="00A2455E">
        <w:rPr>
          <w:bCs/>
          <w:i/>
        </w:rPr>
        <w:t>β</w:t>
      </w:r>
      <w:r w:rsidR="00804E0A">
        <w:rPr>
          <w:bCs/>
          <w:vertAlign w:val="subscript"/>
        </w:rPr>
        <w:t>6</w:t>
      </w:r>
      <w:r w:rsidRPr="00A2455E">
        <w:rPr>
          <w:bCs/>
        </w:rPr>
        <w:t>cambio</w:t>
      </w:r>
      <w:r w:rsidRPr="00A2455E">
        <w:rPr>
          <w:bCs/>
          <w:vertAlign w:val="subscript"/>
        </w:rPr>
        <w:t xml:space="preserve">it </w:t>
      </w:r>
      <w:r w:rsidRPr="00A2455E">
        <w:rPr>
          <w:bCs/>
        </w:rPr>
        <w:t xml:space="preserve">+ </w:t>
      </w:r>
      <w:r w:rsidRPr="00A2455E">
        <w:rPr>
          <w:bCs/>
          <w:i/>
        </w:rPr>
        <w:t>β</w:t>
      </w:r>
      <w:r w:rsidR="00804E0A">
        <w:rPr>
          <w:bCs/>
          <w:vertAlign w:val="subscript"/>
        </w:rPr>
        <w:t>7</w:t>
      </w:r>
      <w:r w:rsidRPr="00A2455E">
        <w:rPr>
          <w:rFonts w:eastAsia="Times New Roman"/>
          <w:lang w:eastAsia="pt-BR"/>
        </w:rPr>
        <w:t>pib2005</w:t>
      </w:r>
      <w:r w:rsidRPr="00A2455E">
        <w:rPr>
          <w:rFonts w:eastAsia="Times New Roman"/>
          <w:vertAlign w:val="subscript"/>
          <w:lang w:eastAsia="pt-BR"/>
        </w:rPr>
        <w:t>it</w:t>
      </w:r>
      <w:r w:rsidRPr="00A2455E">
        <w:rPr>
          <w:rFonts w:eastAsia="Times New Roman"/>
          <w:lang w:eastAsia="pt-BR"/>
        </w:rPr>
        <w:t xml:space="preserve"> + </w:t>
      </w:r>
      <w:r w:rsidRPr="00A2455E">
        <w:rPr>
          <w:bCs/>
          <w:i/>
        </w:rPr>
        <w:t>β</w:t>
      </w:r>
      <w:r w:rsidR="00804E0A">
        <w:rPr>
          <w:bCs/>
          <w:vertAlign w:val="subscript"/>
        </w:rPr>
        <w:t>8</w:t>
      </w:r>
      <w:r w:rsidRPr="00A2455E">
        <w:rPr>
          <w:bCs/>
        </w:rPr>
        <w:t>tc</w:t>
      </w:r>
      <w:r w:rsidRPr="00A2455E">
        <w:rPr>
          <w:bCs/>
          <w:vertAlign w:val="subscript"/>
        </w:rPr>
        <w:t>it</w:t>
      </w:r>
      <w:r w:rsidRPr="00A2455E">
        <w:rPr>
          <w:bCs/>
        </w:rPr>
        <w:t xml:space="preserve"> + </w:t>
      </w:r>
      <w:r w:rsidRPr="00A2455E">
        <w:rPr>
          <w:bCs/>
          <w:i/>
        </w:rPr>
        <w:t>β</w:t>
      </w:r>
      <w:r w:rsidR="00804E0A">
        <w:rPr>
          <w:bCs/>
          <w:vertAlign w:val="subscript"/>
        </w:rPr>
        <w:t>9</w:t>
      </w:r>
      <w:r w:rsidRPr="00A2455E">
        <w:rPr>
          <w:bCs/>
        </w:rPr>
        <w:t>reservas</w:t>
      </w:r>
      <w:r w:rsidRPr="00A2455E">
        <w:rPr>
          <w:bCs/>
          <w:vertAlign w:val="subscript"/>
        </w:rPr>
        <w:t>it</w:t>
      </w:r>
      <w:r w:rsidRPr="00A2455E">
        <w:rPr>
          <w:bCs/>
        </w:rPr>
        <w:t xml:space="preserve"> + </w:t>
      </w:r>
      <w:proofErr w:type="spellStart"/>
      <w:r w:rsidRPr="00A2455E">
        <w:rPr>
          <w:bCs/>
          <w:i/>
        </w:rPr>
        <w:t>e</w:t>
      </w:r>
      <w:r w:rsidRPr="00A2455E">
        <w:rPr>
          <w:bCs/>
          <w:i/>
          <w:vertAlign w:val="subscript"/>
        </w:rPr>
        <w:t>it</w:t>
      </w:r>
      <w:proofErr w:type="spellEnd"/>
    </w:p>
    <w:p w14:paraId="71082F86" w14:textId="77777777" w:rsidR="00F82B07" w:rsidRDefault="00F82B07" w:rsidP="00F82B07">
      <w:pPr>
        <w:spacing w:line="240" w:lineRule="auto"/>
        <w:ind w:firstLine="851"/>
        <w:rPr>
          <w:bCs/>
        </w:rPr>
      </w:pPr>
    </w:p>
    <w:p w14:paraId="62141932" w14:textId="77777777" w:rsidR="004C6607" w:rsidRDefault="00C95F37" w:rsidP="00FC2664">
      <w:pPr>
        <w:spacing w:line="480" w:lineRule="auto"/>
        <w:ind w:firstLine="851"/>
      </w:pPr>
      <w:proofErr w:type="gramStart"/>
      <w:r w:rsidRPr="00C95F37">
        <w:rPr>
          <w:bCs/>
        </w:rPr>
        <w:t>onde</w:t>
      </w:r>
      <w:proofErr w:type="gramEnd"/>
      <w:r w:rsidRPr="00C95F37">
        <w:rPr>
          <w:bCs/>
        </w:rPr>
        <w:t xml:space="preserve"> o subscrito i denota os diferentes indivíduos, no caso países, e o subscrito t indica o período de tempo observado, no caso ano. β</w:t>
      </w:r>
      <w:proofErr w:type="gramStart"/>
      <w:r w:rsidRPr="009E239A">
        <w:rPr>
          <w:bCs/>
          <w:vertAlign w:val="subscript"/>
        </w:rPr>
        <w:t>0</w:t>
      </w:r>
      <w:proofErr w:type="gramEnd"/>
      <w:r w:rsidRPr="00C95F37">
        <w:rPr>
          <w:bCs/>
        </w:rPr>
        <w:t xml:space="preserve"> refere-se ao parâmetro de intercepto e β</w:t>
      </w:r>
      <w:r w:rsidRPr="009E239A">
        <w:rPr>
          <w:bCs/>
          <w:vertAlign w:val="subscript"/>
        </w:rPr>
        <w:t>k</w:t>
      </w:r>
      <w:r w:rsidRPr="00C95F37">
        <w:rPr>
          <w:bCs/>
        </w:rPr>
        <w:t xml:space="preserve"> ao coeficiente angular da k-</w:t>
      </w:r>
      <w:proofErr w:type="spellStart"/>
      <w:r w:rsidRPr="00C95F37">
        <w:rPr>
          <w:bCs/>
        </w:rPr>
        <w:t>ésima</w:t>
      </w:r>
      <w:proofErr w:type="spellEnd"/>
      <w:r w:rsidRPr="00C95F37">
        <w:rPr>
          <w:bCs/>
        </w:rPr>
        <w:t xml:space="preserve"> variável explicativa do modelo. Por fim, </w:t>
      </w:r>
      <w:proofErr w:type="spellStart"/>
      <w:r w:rsidRPr="00C95F37">
        <w:rPr>
          <w:bCs/>
        </w:rPr>
        <w:t>e</w:t>
      </w:r>
      <w:r w:rsidRPr="009E239A">
        <w:rPr>
          <w:bCs/>
          <w:vertAlign w:val="subscript"/>
        </w:rPr>
        <w:t>it</w:t>
      </w:r>
      <w:proofErr w:type="spellEnd"/>
      <w:r w:rsidRPr="00C95F37">
        <w:rPr>
          <w:bCs/>
        </w:rPr>
        <w:t xml:space="preserve"> representa o termo do erro aleatório do i-</w:t>
      </w:r>
      <w:proofErr w:type="spellStart"/>
      <w:r w:rsidRPr="00C95F37">
        <w:rPr>
          <w:bCs/>
        </w:rPr>
        <w:t>ésimo</w:t>
      </w:r>
      <w:proofErr w:type="spellEnd"/>
      <w:r w:rsidRPr="00C95F37">
        <w:rPr>
          <w:bCs/>
        </w:rPr>
        <w:t xml:space="preserve"> </w:t>
      </w:r>
      <w:proofErr w:type="gramStart"/>
      <w:r w:rsidR="00166240" w:rsidRPr="00C95F37">
        <w:rPr>
          <w:bCs/>
        </w:rPr>
        <w:t>individ</w:t>
      </w:r>
      <w:r w:rsidR="00166240">
        <w:rPr>
          <w:bCs/>
        </w:rPr>
        <w:t>u</w:t>
      </w:r>
      <w:r w:rsidR="00166240" w:rsidRPr="00C95F37">
        <w:rPr>
          <w:bCs/>
        </w:rPr>
        <w:t>o</w:t>
      </w:r>
      <w:proofErr w:type="gramEnd"/>
      <w:r w:rsidRPr="00C95F37">
        <w:rPr>
          <w:bCs/>
        </w:rPr>
        <w:t xml:space="preserve"> (país) no t-</w:t>
      </w:r>
      <w:proofErr w:type="spellStart"/>
      <w:r w:rsidRPr="00C95F37">
        <w:rPr>
          <w:bCs/>
        </w:rPr>
        <w:t>ésimo</w:t>
      </w:r>
      <w:proofErr w:type="spellEnd"/>
      <w:r w:rsidRPr="00C95F37">
        <w:rPr>
          <w:bCs/>
        </w:rPr>
        <w:t xml:space="preserve"> período (ano). As variáveis tratadas como </w:t>
      </w:r>
      <w:proofErr w:type="spellStart"/>
      <w:r w:rsidRPr="009E239A">
        <w:rPr>
          <w:bCs/>
          <w:i/>
        </w:rPr>
        <w:t>push</w:t>
      </w:r>
      <w:proofErr w:type="spellEnd"/>
      <w:r w:rsidRPr="009E239A">
        <w:rPr>
          <w:bCs/>
          <w:i/>
        </w:rPr>
        <w:t xml:space="preserve"> </w:t>
      </w:r>
      <w:proofErr w:type="spellStart"/>
      <w:r w:rsidRPr="009E239A">
        <w:rPr>
          <w:bCs/>
          <w:i/>
        </w:rPr>
        <w:t>factors</w:t>
      </w:r>
      <w:proofErr w:type="spellEnd"/>
      <w:r w:rsidRPr="00C95F37">
        <w:rPr>
          <w:bCs/>
        </w:rPr>
        <w:t xml:space="preserve"> não são acompanhadas pelo subscrito i, pois elas não variam entre os países.</w:t>
      </w:r>
    </w:p>
    <w:p w14:paraId="38177432" w14:textId="77777777" w:rsidR="004C6607" w:rsidRDefault="00A52ED0" w:rsidP="00FC2664">
      <w:pPr>
        <w:spacing w:line="480" w:lineRule="auto"/>
        <w:ind w:firstLine="851"/>
      </w:pPr>
      <w:r>
        <w:rPr>
          <w:bCs/>
        </w:rPr>
        <w:t>Entretanto, parcela</w:t>
      </w:r>
      <w:r w:rsidR="00156834" w:rsidRPr="000A0093">
        <w:rPr>
          <w:bCs/>
        </w:rPr>
        <w:t xml:space="preserve"> muitas vezes significativa, das heterogeneidades dos erros não está associada apenas </w:t>
      </w:r>
      <w:r w:rsidR="009E239A">
        <w:rPr>
          <w:bCs/>
        </w:rPr>
        <w:t>a</w:t>
      </w:r>
      <w:r w:rsidR="00156834" w:rsidRPr="000A0093">
        <w:rPr>
          <w:bCs/>
        </w:rPr>
        <w:t>os regressores, como também com variáveis não observáveis relacionadas às características dos indivíduos. Quando isso ocorre, na utilização do Modelo Clássico de Regressão Linear (MCRL), o pressuposto necessário de não correlação entre os regressores e o erro será violado.</w:t>
      </w:r>
      <w:r>
        <w:rPr>
          <w:bCs/>
        </w:rPr>
        <w:t xml:space="preserve"> Formalmente: </w:t>
      </w:r>
      <w:r w:rsidR="00156834" w:rsidRPr="00156834">
        <w:t xml:space="preserve">se a correlação entre c e </w:t>
      </w:r>
      <w:proofErr w:type="spellStart"/>
      <w:r w:rsidR="00156834" w:rsidRPr="00156834">
        <w:t>xj</w:t>
      </w:r>
      <w:proofErr w:type="spellEnd"/>
      <w:r w:rsidR="00156834" w:rsidRPr="00156834">
        <w:t xml:space="preserve">, em que j denota determinado indivíduo, for positiva, a estimação da equação </w:t>
      </w:r>
      <w:proofErr w:type="gramStart"/>
      <w:r w:rsidR="00156834" w:rsidRPr="00156834">
        <w:t>1</w:t>
      </w:r>
      <w:proofErr w:type="gramEnd"/>
      <w:r w:rsidR="00156834" w:rsidRPr="00156834">
        <w:t xml:space="preserve"> seria viesada e os resultados seriam inconsistentes</w:t>
      </w:r>
      <w:r w:rsidRPr="000A0093">
        <w:rPr>
          <w:rStyle w:val="Refdenotaderodap"/>
          <w:bCs/>
        </w:rPr>
        <w:footnoteReference w:id="15"/>
      </w:r>
      <w:r w:rsidR="00156834" w:rsidRPr="00156834">
        <w:t>.</w:t>
      </w:r>
    </w:p>
    <w:p w14:paraId="76D1849E" w14:textId="77777777" w:rsidR="003216E7" w:rsidRDefault="003216E7" w:rsidP="00FC2664">
      <w:pPr>
        <w:spacing w:line="480" w:lineRule="auto"/>
        <w:ind w:firstLine="851"/>
      </w:pPr>
      <w:r>
        <w:t>Três</w:t>
      </w:r>
      <w:r w:rsidRPr="003216E7">
        <w:t xml:space="preserve"> técnicas </w:t>
      </w:r>
      <w:r>
        <w:t>mais tradicionais podem ser utilizadas</w:t>
      </w:r>
      <w:r w:rsidRPr="003216E7">
        <w:t xml:space="preserve"> para solucionar os problemas das heterogeneidades individuais. Uma delas é controlar os efeitos não observados correlacionados às variáveis independentes por meio dos efeitos fixos com a utilização de estimadores de variáveis binárias</w:t>
      </w:r>
      <w:r>
        <w:t>. Um</w:t>
      </w:r>
      <w:r w:rsidR="00166240">
        <w:t>a</w:t>
      </w:r>
      <w:r>
        <w:t xml:space="preserve"> segund</w:t>
      </w:r>
      <w:r w:rsidR="00166240">
        <w:t>a</w:t>
      </w:r>
      <w:r>
        <w:t xml:space="preserve"> </w:t>
      </w:r>
      <w:r w:rsidR="00166240">
        <w:t>técnica se dá por meio d</w:t>
      </w:r>
      <w:r w:rsidRPr="003216E7">
        <w:t>o modelo com efeitos aleatórios</w:t>
      </w:r>
      <w:r w:rsidR="00D028D7">
        <w:t>, o qual</w:t>
      </w:r>
      <w:r w:rsidRPr="003216E7">
        <w:t xml:space="preserve"> parte do princípio de que os interceptos variem de forma aleatória e não devido a características específicas </w:t>
      </w:r>
      <w:r w:rsidRPr="003216E7">
        <w:lastRenderedPageBreak/>
        <w:t>dos indivíduos. Além do mais, pressupõe que os erros do modelo relacionados às variáveis não observáveis não são correlacionados com as variáveis independentes.</w:t>
      </w:r>
      <w:r w:rsidR="005B4FAC">
        <w:t xml:space="preserve"> </w:t>
      </w:r>
      <w:r w:rsidR="00166240">
        <w:t>A</w:t>
      </w:r>
      <w:r w:rsidR="005B4FAC">
        <w:t xml:space="preserve"> terceir</w:t>
      </w:r>
      <w:r w:rsidR="00166240">
        <w:t>a</w:t>
      </w:r>
      <w:r w:rsidR="005B4FAC">
        <w:t xml:space="preserve"> é por meio das regressões em primeira diferença, já que os</w:t>
      </w:r>
      <w:r w:rsidR="005B4FAC" w:rsidRPr="005B4FAC">
        <w:t xml:space="preserve"> efeitos das variáveis explicadas </w:t>
      </w:r>
      <w:r w:rsidR="005B4FAC">
        <w:t xml:space="preserve">refletem apenas </w:t>
      </w:r>
      <w:r w:rsidR="005B4FAC" w:rsidRPr="005B4FAC">
        <w:t>um período para outro, pois o que se estima é o impacto da variação da variável independente sobre a variação da variável explicada.</w:t>
      </w:r>
    </w:p>
    <w:p w14:paraId="5ED99529" w14:textId="77777777" w:rsidR="00664606" w:rsidRDefault="00A52ED0" w:rsidP="00FC2664">
      <w:pPr>
        <w:spacing w:line="480" w:lineRule="auto"/>
        <w:ind w:firstLine="851"/>
      </w:pPr>
      <w:r>
        <w:t>Outros problemas que merecem atenção são a</w:t>
      </w:r>
      <w:r w:rsidR="007C1DA4">
        <w:t xml:space="preserve"> </w:t>
      </w:r>
      <w:r>
        <w:t xml:space="preserve">heterocedasticidade, </w:t>
      </w:r>
      <w:r w:rsidR="00664606">
        <w:t>autocorrelação</w:t>
      </w:r>
      <w:r w:rsidR="009E239A">
        <w:t>, endogeneidade e suposição da exogeneidade estrita</w:t>
      </w:r>
      <w:r w:rsidR="002E331D">
        <w:t xml:space="preserve">. </w:t>
      </w:r>
      <w:r w:rsidR="00776A0B">
        <w:t>Os dois primeiros já são bastante conhecidos</w:t>
      </w:r>
      <w:r w:rsidR="007C1DA4">
        <w:t xml:space="preserve">. </w:t>
      </w:r>
      <w:r w:rsidR="002E331D">
        <w:t>Para</w:t>
      </w:r>
      <w:r w:rsidR="005A1049">
        <w:t xml:space="preserve"> ambos </w:t>
      </w:r>
      <w:r w:rsidR="005A1049" w:rsidRPr="007C1DA4">
        <w:t>os parâmetros do modelo MQO se mantêm consistentes e não viesados, mas deixam de ser eficientes e as estimativas dos erros padrão se tornam viesadas.</w:t>
      </w:r>
      <w:r w:rsidR="005A1049">
        <w:t xml:space="preserve"> </w:t>
      </w:r>
      <w:r w:rsidR="00664606">
        <w:t xml:space="preserve">Qualquer um dos modelos acima mencionado possuem ferramentas para </w:t>
      </w:r>
      <w:r w:rsidR="00664606" w:rsidRPr="00664606">
        <w:t>corrigir a variância dos estimadores, tornando-os robustos à quebra da homocedasticidade</w:t>
      </w:r>
      <w:r w:rsidR="00664606">
        <w:t xml:space="preserve"> e a autocorrelação.</w:t>
      </w:r>
    </w:p>
    <w:p w14:paraId="5C3C3829" w14:textId="77777777" w:rsidR="00C23669" w:rsidRDefault="009E239A" w:rsidP="00FC2664">
      <w:pPr>
        <w:spacing w:line="480" w:lineRule="auto"/>
        <w:ind w:firstLine="851"/>
      </w:pPr>
      <w:r>
        <w:t xml:space="preserve">Quanto à </w:t>
      </w:r>
      <w:r w:rsidR="00664606">
        <w:t>endogeneidade</w:t>
      </w:r>
      <w:r>
        <w:t>, e</w:t>
      </w:r>
      <w:r w:rsidR="00664606">
        <w:t xml:space="preserve">la significa que há uma </w:t>
      </w:r>
      <w:r w:rsidR="00664606" w:rsidRPr="00776A0B">
        <w:t>relação entre os resíduos e as variáveis independentes</w:t>
      </w:r>
      <w:r w:rsidR="00970F3C">
        <w:t xml:space="preserve">, devido </w:t>
      </w:r>
      <w:r>
        <w:t>à</w:t>
      </w:r>
      <w:r w:rsidR="00970F3C">
        <w:t xml:space="preserve"> determinação simultânea entre as variáveis explicativas e explicada</w:t>
      </w:r>
      <w:r w:rsidR="00664606">
        <w:t xml:space="preserve">. Neste caso, </w:t>
      </w:r>
      <w:r w:rsidR="00776A0B" w:rsidRPr="00776A0B">
        <w:t>os estimadores MQO são viesados e inconsi</w:t>
      </w:r>
      <w:r w:rsidR="00664606">
        <w:t xml:space="preserve">stentes. </w:t>
      </w:r>
      <w:r>
        <w:t>Por fim, resta a questão da necessidade</w:t>
      </w:r>
      <w:r w:rsidR="00166240">
        <w:t xml:space="preserve"> </w:t>
      </w:r>
      <w:r>
        <w:t>em se</w:t>
      </w:r>
      <w:r w:rsidR="00664606" w:rsidRPr="002E331D">
        <w:t xml:space="preserve"> </w:t>
      </w:r>
      <w:r w:rsidR="00664606">
        <w:t>respeitar</w:t>
      </w:r>
      <w:r w:rsidR="00664606" w:rsidRPr="002E331D">
        <w:t xml:space="preserve"> a validade da hipótese de exogeneidade estrita para que a regressão </w:t>
      </w:r>
      <w:r w:rsidR="00664606">
        <w:t>não incorra</w:t>
      </w:r>
      <w:r w:rsidR="00664606" w:rsidRPr="002E331D">
        <w:t xml:space="preserve"> em resultados inconsistentes. Esta é uma hipótese bastante restritiva e implica que todas as variáveis explanatórias de um modelo não podem ser correlacionadas com erro, não apenas no presente, como também no passado e no futuro. Ou seja, as variáveis passadas não podem afetar os erros e estes não podem afetar o fu</w:t>
      </w:r>
      <w:r w:rsidR="00664606">
        <w:t xml:space="preserve">turo das variáveis explicativas </w:t>
      </w:r>
      <w:r w:rsidR="00776A0B" w:rsidRPr="00776A0B">
        <w:t>(Wooldridge, 2002).</w:t>
      </w:r>
    </w:p>
    <w:p w14:paraId="0D4356D0" w14:textId="64CAC7EC" w:rsidR="00EC7B5D" w:rsidRDefault="0041624E" w:rsidP="00FC2664">
      <w:pPr>
        <w:spacing w:line="480" w:lineRule="auto"/>
        <w:ind w:firstLine="851"/>
      </w:pPr>
      <w:r>
        <w:t>Felizmente</w:t>
      </w:r>
      <w:r w:rsidR="00B24307">
        <w:t>,</w:t>
      </w:r>
      <w:r>
        <w:t xml:space="preserve"> existe</w:t>
      </w:r>
      <w:r w:rsidR="00664606">
        <w:t>m</w:t>
      </w:r>
      <w:r>
        <w:t xml:space="preserve"> </w:t>
      </w:r>
      <w:r w:rsidR="00664606">
        <w:t>dois</w:t>
      </w:r>
      <w:r>
        <w:t xml:space="preserve"> </w:t>
      </w:r>
      <w:r w:rsidR="004C6607" w:rsidRPr="000A0093">
        <w:t>procedimento</w:t>
      </w:r>
      <w:r w:rsidR="00664606">
        <w:t>s</w:t>
      </w:r>
      <w:r w:rsidR="004C6607" w:rsidRPr="000A0093">
        <w:t xml:space="preserve"> de estimação</w:t>
      </w:r>
      <w:r w:rsidR="008001B4">
        <w:t xml:space="preserve"> que consegue</w:t>
      </w:r>
      <w:r w:rsidR="00B24307">
        <w:t>m</w:t>
      </w:r>
      <w:r w:rsidR="008001B4">
        <w:t xml:space="preserve"> </w:t>
      </w:r>
      <w:r>
        <w:t>resolver todas essas quest</w:t>
      </w:r>
      <w:r w:rsidR="008001B4">
        <w:t>ões levantadas</w:t>
      </w:r>
      <w:r w:rsidR="00EC7B5D">
        <w:t xml:space="preserve">, que </w:t>
      </w:r>
      <w:r w:rsidR="00664606">
        <w:t>são</w:t>
      </w:r>
      <w:r w:rsidR="00EC7B5D">
        <w:t xml:space="preserve"> o</w:t>
      </w:r>
      <w:r w:rsidR="009E239A">
        <w:t>s</w:t>
      </w:r>
      <w:r w:rsidR="00EC7B5D">
        <w:t xml:space="preserve"> modelo</w:t>
      </w:r>
      <w:r w:rsidR="009E239A">
        <w:t>s</w:t>
      </w:r>
      <w:r w:rsidR="00EC7B5D">
        <w:t xml:space="preserve"> baseado</w:t>
      </w:r>
      <w:r w:rsidR="009E239A">
        <w:t>s</w:t>
      </w:r>
      <w:r w:rsidR="00664606">
        <w:t xml:space="preserve"> no m</w:t>
      </w:r>
      <w:r w:rsidR="004C6607" w:rsidRPr="000A0093">
        <w:t xml:space="preserve">étodo dos </w:t>
      </w:r>
      <w:r w:rsidR="00664606">
        <w:t>m</w:t>
      </w:r>
      <w:r w:rsidR="004C6607" w:rsidRPr="000A0093">
        <w:t xml:space="preserve">omentos </w:t>
      </w:r>
      <w:r w:rsidR="00664606">
        <w:t>g</w:t>
      </w:r>
      <w:r w:rsidR="004C6607" w:rsidRPr="000A0093">
        <w:t>eneralizados (MMG) desenvol</w:t>
      </w:r>
      <w:r w:rsidR="00EC7B5D">
        <w:t xml:space="preserve">vido </w:t>
      </w:r>
      <w:r w:rsidR="00443DDF">
        <w:t xml:space="preserve">inicialmente </w:t>
      </w:r>
      <w:r w:rsidR="00EC7B5D">
        <w:t xml:space="preserve">por </w:t>
      </w:r>
      <w:proofErr w:type="spellStart"/>
      <w:r w:rsidR="00EC7B5D">
        <w:t>Arellano</w:t>
      </w:r>
      <w:proofErr w:type="spellEnd"/>
      <w:r w:rsidR="00EC7B5D">
        <w:t xml:space="preserve"> e Bond (1991). Ele</w:t>
      </w:r>
      <w:r w:rsidR="006C65FE">
        <w:t xml:space="preserve"> resolve o problema da endogeneidade e permite relaxar a hipótese</w:t>
      </w:r>
      <w:r w:rsidR="00EC7B5D" w:rsidRPr="00EC7B5D">
        <w:t xml:space="preserve"> da exogeneidade estrita porque define condições de momentos a partir de valores defasados das variáveis dependentes ou outras variáveis exógenas definidas como instrumentos</w:t>
      </w:r>
      <w:r w:rsidR="00443DDF">
        <w:t xml:space="preserve">. Tais instrumentos são por suposição </w:t>
      </w:r>
      <w:proofErr w:type="gramStart"/>
      <w:r w:rsidR="00443DDF">
        <w:t>não-correlacionados</w:t>
      </w:r>
      <w:proofErr w:type="gramEnd"/>
      <w:r w:rsidR="00443DDF">
        <w:t xml:space="preserve"> com o termo de erro da regressão</w:t>
      </w:r>
      <w:r w:rsidR="00EC7B5D" w:rsidRPr="00EC7B5D">
        <w:t xml:space="preserve"> (</w:t>
      </w:r>
      <w:proofErr w:type="spellStart"/>
      <w:r w:rsidR="00EC7B5D" w:rsidRPr="00EC7B5D">
        <w:t>Roodman</w:t>
      </w:r>
      <w:proofErr w:type="spellEnd"/>
      <w:r w:rsidR="00EC7B5D" w:rsidRPr="00EC7B5D">
        <w:t>, 2009).</w:t>
      </w:r>
    </w:p>
    <w:p w14:paraId="6B661BD6" w14:textId="77777777" w:rsidR="00443DDF" w:rsidRDefault="00443DDF" w:rsidP="00FC2664">
      <w:pPr>
        <w:spacing w:line="480" w:lineRule="auto"/>
        <w:ind w:firstLine="851"/>
      </w:pPr>
      <w:r>
        <w:lastRenderedPageBreak/>
        <w:t xml:space="preserve">Para controlar o problema das variáveis não observáveis, </w:t>
      </w:r>
      <w:proofErr w:type="spellStart"/>
      <w:r>
        <w:t>Arellano</w:t>
      </w:r>
      <w:proofErr w:type="spellEnd"/>
      <w:r>
        <w:t xml:space="preserve"> e Bond (1991) propõe realizar regressões transformando as variáveis originais em primeira diferença, este método ficou </w:t>
      </w:r>
      <w:proofErr w:type="spellStart"/>
      <w:r>
        <w:t>onhecido</w:t>
      </w:r>
      <w:proofErr w:type="spellEnd"/>
      <w:r>
        <w:t xml:space="preserve"> como método dos momentos generalizado-difere</w:t>
      </w:r>
      <w:r w:rsidR="001B4E69">
        <w:t xml:space="preserve">nciado (MMG-D). Contudo, como demonstram </w:t>
      </w:r>
      <w:proofErr w:type="spellStart"/>
      <w:r w:rsidR="001B4E69" w:rsidRPr="001B4E69">
        <w:t>Arellano</w:t>
      </w:r>
      <w:proofErr w:type="spellEnd"/>
      <w:r w:rsidR="001B4E69" w:rsidRPr="001B4E69">
        <w:t xml:space="preserve"> e </w:t>
      </w:r>
      <w:proofErr w:type="spellStart"/>
      <w:r w:rsidR="001B4E69" w:rsidRPr="001B4E69">
        <w:t>Bover</w:t>
      </w:r>
      <w:proofErr w:type="spellEnd"/>
      <w:r w:rsidR="001B4E69" w:rsidRPr="001B4E69">
        <w:t xml:space="preserve"> (1995) e </w:t>
      </w:r>
      <w:proofErr w:type="spellStart"/>
      <w:r w:rsidR="001B4E69" w:rsidRPr="001B4E69">
        <w:t>Blundell</w:t>
      </w:r>
      <w:proofErr w:type="spellEnd"/>
      <w:r w:rsidR="001B4E69" w:rsidRPr="001B4E69">
        <w:t xml:space="preserve"> e Bond (1998</w:t>
      </w:r>
      <w:r w:rsidR="001B4E69">
        <w:t xml:space="preserve">), este método possui limitações </w:t>
      </w:r>
      <w:r w:rsidR="00B46D77">
        <w:t xml:space="preserve">quando o comportamento da variável dependente se aproxima de um passeio aleatório. Isto porque o MMG não seria eficiente, já que nesse caso os valores passados teriam pouco a dizer sobre o futuro. </w:t>
      </w:r>
      <w:r w:rsidR="001B4E69">
        <w:t xml:space="preserve"> </w:t>
      </w:r>
      <w:r w:rsidR="00B46D77">
        <w:t>Caso o período observado seja reduzido, os estimadores podem ser viesados.</w:t>
      </w:r>
    </w:p>
    <w:p w14:paraId="4746DC60" w14:textId="77777777" w:rsidR="004C6607" w:rsidRPr="000A0093" w:rsidRDefault="00B46D77" w:rsidP="00FC2664">
      <w:pPr>
        <w:spacing w:line="480" w:lineRule="auto"/>
        <w:ind w:firstLine="851"/>
      </w:pPr>
      <w:r>
        <w:t xml:space="preserve">Com intuito de aprimorar a eficiência do MMG, estes autores propõem um método </w:t>
      </w:r>
      <w:r w:rsidR="00122478">
        <w:t xml:space="preserve">mais eficiente e </w:t>
      </w:r>
      <w:r>
        <w:t>que</w:t>
      </w:r>
      <w:r w:rsidR="00122478">
        <w:t xml:space="preserve"> não traz os problemas mencionados. A</w:t>
      </w:r>
      <w:r>
        <w:t>o invés de transformar os regressores em primeira diferença</w:t>
      </w:r>
      <w:r w:rsidR="00EA595A">
        <w:t xml:space="preserve"> para expurgar os efeitos fixos</w:t>
      </w:r>
      <w:r>
        <w:t xml:space="preserve">, </w:t>
      </w:r>
      <w:r w:rsidR="00F93B92">
        <w:t>mantém as</w:t>
      </w:r>
      <w:r>
        <w:t xml:space="preserve"> variáveis em nível com</w:t>
      </w:r>
      <w:r w:rsidR="00EA595A">
        <w:t>o regressores</w:t>
      </w:r>
      <w:r w:rsidR="00921F31">
        <w:t>, mas combina com as respectivas variáveis</w:t>
      </w:r>
      <w:r w:rsidR="00F93B92">
        <w:t xml:space="preserve"> em diferença</w:t>
      </w:r>
      <w:r w:rsidR="00921F31">
        <w:t xml:space="preserve"> defasadas</w:t>
      </w:r>
      <w:r w:rsidR="00F93B92">
        <w:t xml:space="preserve"> na forma de instrumentos, os quais não são</w:t>
      </w:r>
      <w:r w:rsidR="007237E1">
        <w:t>, por definição,</w:t>
      </w:r>
      <w:r w:rsidR="00F93B92">
        <w:t xml:space="preserve"> correlacionados com os efeitos fixos. Esse método é conhecido como método dos momentos generalizados-sistema (MMG-S)</w:t>
      </w:r>
      <w:r w:rsidR="00122478">
        <w:t xml:space="preserve">. Por não apresentar as limitações </w:t>
      </w:r>
      <w:r w:rsidR="001D7685">
        <w:t>do MMG-D, ele</w:t>
      </w:r>
      <w:r w:rsidR="00122478">
        <w:t xml:space="preserve"> será adotado </w:t>
      </w:r>
      <w:r w:rsidR="001D7685">
        <w:t xml:space="preserve">nas estimações </w:t>
      </w:r>
      <w:r w:rsidR="00122478">
        <w:t xml:space="preserve">deste trabalho. </w:t>
      </w:r>
      <w:r w:rsidR="001D7685">
        <w:t xml:space="preserve">A </w:t>
      </w:r>
      <w:r w:rsidR="004C6607" w:rsidRPr="000A0093">
        <w:t>equação geral desse modelo pode ser representada de acordo com a equação abaixo:</w:t>
      </w:r>
    </w:p>
    <w:p w14:paraId="04811DA1" w14:textId="77777777" w:rsidR="004C6607" w:rsidRPr="000A0093" w:rsidRDefault="004C6607" w:rsidP="00FC2664">
      <w:pPr>
        <w:spacing w:line="480" w:lineRule="auto"/>
        <w:ind w:firstLine="851"/>
        <w:rPr>
          <w:lang w:val="en-US"/>
        </w:rPr>
      </w:pPr>
      <w:r w:rsidRPr="000A0093">
        <w:rPr>
          <w:lang w:val="en-US"/>
        </w:rPr>
        <w:t>(</w:t>
      </w:r>
      <w:r w:rsidR="00B429B3">
        <w:rPr>
          <w:lang w:val="en-US"/>
        </w:rPr>
        <w:t>2</w:t>
      </w:r>
      <w:r w:rsidRPr="000A0093">
        <w:rPr>
          <w:lang w:val="en-US"/>
        </w:rPr>
        <w:t>)</w:t>
      </w:r>
      <w:r w:rsidRPr="000A0093">
        <w:rPr>
          <w:lang w:val="en-US"/>
        </w:rPr>
        <w:tab/>
      </w:r>
      <w:r w:rsidRPr="000A0093">
        <w:rPr>
          <w:lang w:val="en-US"/>
        </w:rPr>
        <w:tab/>
      </w:r>
      <w:proofErr w:type="spellStart"/>
      <w:proofErr w:type="gramStart"/>
      <w:r w:rsidRPr="000A0093">
        <w:rPr>
          <w:lang w:val="en-US"/>
        </w:rPr>
        <w:t>y</w:t>
      </w:r>
      <w:r w:rsidRPr="000A0093">
        <w:rPr>
          <w:vertAlign w:val="subscript"/>
          <w:lang w:val="en-US"/>
        </w:rPr>
        <w:t>it</w:t>
      </w:r>
      <w:proofErr w:type="spellEnd"/>
      <w:proofErr w:type="gramEnd"/>
      <w:r w:rsidRPr="000A0093">
        <w:rPr>
          <w:lang w:val="en-US"/>
        </w:rPr>
        <w:t xml:space="preserve"> = </w:t>
      </w:r>
      <w:r w:rsidRPr="000A0093">
        <w:rPr>
          <w:bCs/>
          <w:i/>
        </w:rPr>
        <w:t>β</w:t>
      </w:r>
      <w:r w:rsidRPr="000A0093">
        <w:rPr>
          <w:bCs/>
          <w:vertAlign w:val="subscript"/>
          <w:lang w:val="en-US"/>
        </w:rPr>
        <w:t>1</w:t>
      </w:r>
      <w:r w:rsidRPr="000A0093">
        <w:rPr>
          <w:bCs/>
          <w:vertAlign w:val="superscript"/>
          <w:lang w:val="en-US"/>
        </w:rPr>
        <w:t>T</w:t>
      </w:r>
      <w:r w:rsidRPr="000A0093">
        <w:rPr>
          <w:lang w:val="en-US"/>
        </w:rPr>
        <w:t xml:space="preserve"> w</w:t>
      </w:r>
      <w:r w:rsidRPr="000A0093">
        <w:rPr>
          <w:vertAlign w:val="subscript"/>
          <w:lang w:val="en-US"/>
        </w:rPr>
        <w:t>1it</w:t>
      </w:r>
      <w:r w:rsidRPr="000A0093">
        <w:rPr>
          <w:lang w:val="en-US"/>
        </w:rPr>
        <w:t xml:space="preserve"> + </w:t>
      </w:r>
      <w:r w:rsidRPr="000A0093">
        <w:rPr>
          <w:bCs/>
          <w:i/>
        </w:rPr>
        <w:t>β</w:t>
      </w:r>
      <w:r w:rsidRPr="000A0093">
        <w:rPr>
          <w:bCs/>
          <w:vertAlign w:val="subscript"/>
          <w:lang w:val="en-US"/>
        </w:rPr>
        <w:t>2</w:t>
      </w:r>
      <w:r w:rsidRPr="000A0093">
        <w:rPr>
          <w:bCs/>
          <w:vertAlign w:val="superscript"/>
          <w:lang w:val="en-US"/>
        </w:rPr>
        <w:t>T</w:t>
      </w:r>
      <w:r w:rsidRPr="000A0093">
        <w:rPr>
          <w:lang w:val="en-US"/>
        </w:rPr>
        <w:t>w</w:t>
      </w:r>
      <w:r w:rsidRPr="000A0093">
        <w:rPr>
          <w:vertAlign w:val="subscript"/>
          <w:lang w:val="en-US"/>
        </w:rPr>
        <w:t>2it</w:t>
      </w:r>
      <w:r w:rsidRPr="000A0093">
        <w:rPr>
          <w:lang w:val="en-US"/>
        </w:rPr>
        <w:t xml:space="preserve"> + ci</w:t>
      </w:r>
      <w:r w:rsidRPr="000A0093">
        <w:rPr>
          <w:vertAlign w:val="subscript"/>
          <w:lang w:val="en-US"/>
        </w:rPr>
        <w:t>i</w:t>
      </w:r>
      <w:r w:rsidRPr="000A0093">
        <w:rPr>
          <w:lang w:val="en-US"/>
        </w:rPr>
        <w:t xml:space="preserve"> + </w:t>
      </w:r>
      <w:proofErr w:type="spellStart"/>
      <w:r w:rsidRPr="000A0093">
        <w:rPr>
          <w:lang w:val="en-US"/>
        </w:rPr>
        <w:t>ct</w:t>
      </w:r>
      <w:r w:rsidRPr="000A0093">
        <w:rPr>
          <w:vertAlign w:val="subscript"/>
          <w:lang w:val="en-US"/>
        </w:rPr>
        <w:t>t</w:t>
      </w:r>
      <w:proofErr w:type="spellEnd"/>
      <w:r w:rsidRPr="000A0093">
        <w:rPr>
          <w:lang w:val="en-US"/>
        </w:rPr>
        <w:t xml:space="preserve"> + </w:t>
      </w:r>
      <w:proofErr w:type="spellStart"/>
      <w:r w:rsidRPr="000A0093">
        <w:rPr>
          <w:lang w:val="en-US"/>
        </w:rPr>
        <w:t>e</w:t>
      </w:r>
      <w:r w:rsidRPr="000A0093">
        <w:rPr>
          <w:vertAlign w:val="subscript"/>
          <w:lang w:val="en-US"/>
        </w:rPr>
        <w:t>it</w:t>
      </w:r>
      <w:proofErr w:type="spellEnd"/>
    </w:p>
    <w:p w14:paraId="685A594A" w14:textId="77777777" w:rsidR="004C6607" w:rsidRDefault="004C6607" w:rsidP="00FC2664">
      <w:pPr>
        <w:spacing w:line="480" w:lineRule="auto"/>
        <w:ind w:firstLine="851"/>
      </w:pPr>
      <w:proofErr w:type="gramStart"/>
      <w:r w:rsidRPr="000A0093">
        <w:t>na</w:t>
      </w:r>
      <w:proofErr w:type="gramEnd"/>
      <w:r w:rsidRPr="000A0093">
        <w:t xml:space="preserve"> qual o w</w:t>
      </w:r>
      <w:r w:rsidRPr="000A0093">
        <w:rPr>
          <w:vertAlign w:val="subscript"/>
        </w:rPr>
        <w:t xml:space="preserve">1it </w:t>
      </w:r>
      <w:r w:rsidRPr="000A0093">
        <w:t>é um vetor transposto (indicado pelo sobrescrito T) em que seriam incluídas as variáveis com suspeita de endogeneidade (passada, presente ou futura); w</w:t>
      </w:r>
      <w:r w:rsidRPr="000A0093">
        <w:rPr>
          <w:vertAlign w:val="subscript"/>
        </w:rPr>
        <w:t xml:space="preserve">2it </w:t>
      </w:r>
      <w:r w:rsidRPr="000A0093">
        <w:t>é</w:t>
      </w:r>
      <w:r w:rsidRPr="000A0093">
        <w:rPr>
          <w:vertAlign w:val="subscript"/>
        </w:rPr>
        <w:t xml:space="preserve"> </w:t>
      </w:r>
      <w:r w:rsidRPr="000A0093">
        <w:t xml:space="preserve">um vetor que incluiria as variáveis consideradas como estritamente exógenas; </w:t>
      </w:r>
      <w:proofErr w:type="spellStart"/>
      <w:r w:rsidRPr="000A0093">
        <w:t>ci</w:t>
      </w:r>
      <w:r w:rsidRPr="000A0093">
        <w:rPr>
          <w:vertAlign w:val="subscript"/>
        </w:rPr>
        <w:t>i</w:t>
      </w:r>
      <w:proofErr w:type="spellEnd"/>
      <w:r w:rsidRPr="000A0093">
        <w:rPr>
          <w:vertAlign w:val="subscript"/>
        </w:rPr>
        <w:t xml:space="preserve"> </w:t>
      </w:r>
      <w:r w:rsidRPr="000A0093">
        <w:t xml:space="preserve">são as binárias para os indivíduos e </w:t>
      </w:r>
      <w:proofErr w:type="spellStart"/>
      <w:r w:rsidRPr="000A0093">
        <w:t>ct</w:t>
      </w:r>
      <w:r w:rsidRPr="000A0093">
        <w:rPr>
          <w:vertAlign w:val="subscript"/>
        </w:rPr>
        <w:t>t</w:t>
      </w:r>
      <w:proofErr w:type="spellEnd"/>
      <w:r w:rsidRPr="000A0093">
        <w:rPr>
          <w:vertAlign w:val="subscript"/>
        </w:rPr>
        <w:t xml:space="preserve"> </w:t>
      </w:r>
      <w:r w:rsidRPr="000A0093">
        <w:t>são</w:t>
      </w:r>
      <w:r w:rsidRPr="000A0093">
        <w:rPr>
          <w:vertAlign w:val="subscript"/>
        </w:rPr>
        <w:t xml:space="preserve"> </w:t>
      </w:r>
      <w:r w:rsidRPr="000A0093">
        <w:t>as binárias para</w:t>
      </w:r>
      <w:r w:rsidRPr="000A0093">
        <w:rPr>
          <w:vertAlign w:val="subscript"/>
        </w:rPr>
        <w:t xml:space="preserve"> </w:t>
      </w:r>
      <w:r w:rsidRPr="000A0093">
        <w:t xml:space="preserve">os anos. A partir das variáveis desse vetor é que seriam retirados os instrumentos. Na equação aqui adotada, as variáveis classificadas como </w:t>
      </w:r>
      <w:proofErr w:type="spellStart"/>
      <w:r w:rsidRPr="000A0093">
        <w:rPr>
          <w:i/>
        </w:rPr>
        <w:t>pull</w:t>
      </w:r>
      <w:proofErr w:type="spellEnd"/>
      <w:r w:rsidRPr="000A0093">
        <w:rPr>
          <w:i/>
        </w:rPr>
        <w:t xml:space="preserve"> </w:t>
      </w:r>
      <w:proofErr w:type="spellStart"/>
      <w:r w:rsidRPr="000A0093">
        <w:rPr>
          <w:i/>
        </w:rPr>
        <w:t>factors</w:t>
      </w:r>
      <w:proofErr w:type="spellEnd"/>
      <w:r w:rsidRPr="000A0093">
        <w:t xml:space="preserve"> foram incluídas em w</w:t>
      </w:r>
      <w:r w:rsidRPr="000A0093">
        <w:rPr>
          <w:vertAlign w:val="subscript"/>
        </w:rPr>
        <w:t>1it</w:t>
      </w:r>
      <w:r w:rsidRPr="000A0093">
        <w:t xml:space="preserve"> e as </w:t>
      </w:r>
      <w:proofErr w:type="spellStart"/>
      <w:r w:rsidRPr="000A0093">
        <w:rPr>
          <w:i/>
        </w:rPr>
        <w:t>push</w:t>
      </w:r>
      <w:proofErr w:type="spellEnd"/>
      <w:r w:rsidRPr="000A0093">
        <w:rPr>
          <w:i/>
        </w:rPr>
        <w:t xml:space="preserve"> </w:t>
      </w:r>
      <w:proofErr w:type="spellStart"/>
      <w:r w:rsidRPr="000A0093">
        <w:rPr>
          <w:i/>
        </w:rPr>
        <w:t>factors</w:t>
      </w:r>
      <w:proofErr w:type="spellEnd"/>
      <w:r w:rsidRPr="000A0093">
        <w:t xml:space="preserve"> em w</w:t>
      </w:r>
      <w:r w:rsidRPr="000A0093">
        <w:rPr>
          <w:vertAlign w:val="subscript"/>
        </w:rPr>
        <w:t>2it</w:t>
      </w:r>
      <w:r w:rsidRPr="000A0093">
        <w:t>.</w:t>
      </w:r>
    </w:p>
    <w:p w14:paraId="6D2067BD" w14:textId="77777777" w:rsidR="00E42F63" w:rsidRDefault="00300B38" w:rsidP="00FC2664">
      <w:pPr>
        <w:tabs>
          <w:tab w:val="left" w:pos="3922"/>
        </w:tabs>
        <w:spacing w:line="480" w:lineRule="auto"/>
        <w:ind w:firstLine="851"/>
      </w:pPr>
      <w:r>
        <w:t>Para que o modelo MMG-S seja consistente, faz-se necessári</w:t>
      </w:r>
      <w:r w:rsidR="00DF6398">
        <w:t xml:space="preserve">o o atendimento de duas suposições. Uma se refere a não correlação dos erros. </w:t>
      </w:r>
      <w:proofErr w:type="spellStart"/>
      <w:r w:rsidR="00461BB5">
        <w:t>Arellano</w:t>
      </w:r>
      <w:proofErr w:type="spellEnd"/>
      <w:r w:rsidR="00461BB5">
        <w:t xml:space="preserve"> e Bond (1991) desenvolvem testes </w:t>
      </w:r>
      <w:r w:rsidR="00461BB5" w:rsidRPr="000A0093">
        <w:t>baseados em erros transformados por primeira diferença</w:t>
      </w:r>
      <w:r w:rsidR="00461BB5">
        <w:t xml:space="preserve"> para verificar a presença de correlação dos erros. Devido a essa característica, </w:t>
      </w:r>
      <w:r w:rsidR="00E42F63" w:rsidRPr="000A0093">
        <w:t xml:space="preserve">é esperado que </w:t>
      </w:r>
      <w:proofErr w:type="gramStart"/>
      <w:r w:rsidR="00E42F63" w:rsidRPr="000A0093">
        <w:t>seja</w:t>
      </w:r>
      <w:proofErr w:type="gramEnd"/>
      <w:r w:rsidR="00E42F63" w:rsidRPr="000A0093">
        <w:t xml:space="preserve"> autocorrelacionado de primeira ordem. </w:t>
      </w:r>
      <w:proofErr w:type="gramStart"/>
      <w:r w:rsidR="00E42F63" w:rsidRPr="000A0093">
        <w:t xml:space="preserve">Esse </w:t>
      </w:r>
      <w:r w:rsidR="00E42F63" w:rsidRPr="000A0093">
        <w:lastRenderedPageBreak/>
        <w:t>modelo aceita</w:t>
      </w:r>
      <w:proofErr w:type="gramEnd"/>
      <w:r w:rsidR="00E42F63" w:rsidRPr="000A0093">
        <w:t xml:space="preserve"> autocorrelação desta ordem, mas autocorrelação de segunda ordem, AR (2), indicaria inconsistência do modelo.</w:t>
      </w:r>
    </w:p>
    <w:p w14:paraId="0F38A12B" w14:textId="77777777" w:rsidR="00300B38" w:rsidRDefault="00DF6398" w:rsidP="00FC2664">
      <w:pPr>
        <w:spacing w:line="480" w:lineRule="auto"/>
        <w:ind w:firstLine="851"/>
      </w:pPr>
      <w:r>
        <w:t xml:space="preserve">A segunda </w:t>
      </w:r>
      <w:r w:rsidR="00E42F63">
        <w:t xml:space="preserve">suposição </w:t>
      </w:r>
      <w:r>
        <w:t xml:space="preserve">está relacionada com a adequação na escolha dos instrumentos. </w:t>
      </w:r>
      <w:r w:rsidR="004326C9">
        <w:t xml:space="preserve">Para verificação dessa suposição, a regressão com base no MMG-S </w:t>
      </w:r>
      <w:r w:rsidR="00160E0E">
        <w:t>realiza</w:t>
      </w:r>
      <w:r w:rsidR="004326C9">
        <w:t xml:space="preserve"> o</w:t>
      </w:r>
      <w:r w:rsidR="004326C9" w:rsidRPr="000A0093">
        <w:t xml:space="preserve"> teste da estatística J de Hansen</w:t>
      </w:r>
      <w:r w:rsidR="004326C9">
        <w:t>, que</w:t>
      </w:r>
      <w:r w:rsidR="004326C9" w:rsidRPr="000A0093">
        <w:t xml:space="preserve"> é uma versão robusta à quebra de heterocedasticidade e presença de autocorrelação do teste de restrição sobre identificação de </w:t>
      </w:r>
      <w:proofErr w:type="spellStart"/>
      <w:r w:rsidR="004326C9" w:rsidRPr="000A0093">
        <w:t>Sargan</w:t>
      </w:r>
      <w:proofErr w:type="spellEnd"/>
      <w:r w:rsidR="004326C9" w:rsidRPr="000A0093">
        <w:t>. Ele adota como hipótese nula que os instrumentos são adequados ao modelo de MMG, isto é, se eles são de fato estritamente exógenos.</w:t>
      </w:r>
      <w:r w:rsidR="00160E0E">
        <w:t xml:space="preserve"> Adicionalmente,</w:t>
      </w:r>
      <w:r w:rsidR="00160E0E" w:rsidRPr="000A0093">
        <w:t xml:space="preserve"> são reportados os testes de diferenças nos testes Hansen para exogeneidade do grupo de instrumentos</w:t>
      </w:r>
      <w:r w:rsidR="00160E0E">
        <w:t>.</w:t>
      </w:r>
    </w:p>
    <w:p w14:paraId="0A8BAA7E" w14:textId="046355DF" w:rsidR="00503B6B" w:rsidRDefault="00E01246" w:rsidP="00FC2664">
      <w:pPr>
        <w:spacing w:line="480" w:lineRule="auto"/>
        <w:ind w:firstLine="851"/>
      </w:pPr>
      <w:r>
        <w:t xml:space="preserve">Uma </w:t>
      </w:r>
      <w:r w:rsidR="00CF6778">
        <w:t>observação</w:t>
      </w:r>
      <w:r>
        <w:t xml:space="preserve"> </w:t>
      </w:r>
      <w:r w:rsidR="00CF6778">
        <w:t>importante a ser feita se refere ao problema da utilização de u</w:t>
      </w:r>
      <w:r w:rsidR="00CF6778" w:rsidRPr="00CF6778">
        <w:t xml:space="preserve">m número elevado de instrumentos relativamente ao total </w:t>
      </w:r>
      <w:r w:rsidR="008A053D">
        <w:t xml:space="preserve">de variáveis </w:t>
      </w:r>
      <w:proofErr w:type="spellStart"/>
      <w:r w:rsidR="008A053D" w:rsidRPr="000F3038">
        <w:t>cross-sections</w:t>
      </w:r>
      <w:proofErr w:type="spellEnd"/>
      <w:r w:rsidR="008A053D">
        <w:t xml:space="preserve"> (no caso países)</w:t>
      </w:r>
      <w:r w:rsidR="00CF6778">
        <w:t xml:space="preserve">. Conforme argumenta </w:t>
      </w:r>
      <w:r w:rsidR="00CF6778" w:rsidRPr="00EC7B5D">
        <w:t>(</w:t>
      </w:r>
      <w:proofErr w:type="spellStart"/>
      <w:r w:rsidR="00CF6778" w:rsidRPr="00EC7B5D">
        <w:t>Roodman</w:t>
      </w:r>
      <w:proofErr w:type="spellEnd"/>
      <w:r w:rsidR="00CF6778" w:rsidRPr="00EC7B5D">
        <w:t>, 2009</w:t>
      </w:r>
      <w:r w:rsidR="001C3806">
        <w:t xml:space="preserve"> a</w:t>
      </w:r>
      <w:r w:rsidR="00CF6778" w:rsidRPr="00EC7B5D">
        <w:t>)</w:t>
      </w:r>
      <w:r w:rsidR="00CF6778">
        <w:t>,</w:t>
      </w:r>
      <w:r w:rsidR="00C50BCA">
        <w:t xml:space="preserve"> </w:t>
      </w:r>
      <w:r w:rsidR="001C3806">
        <w:t xml:space="preserve">quando em um painel, T for superior a </w:t>
      </w:r>
      <w:proofErr w:type="gramStart"/>
      <w:r w:rsidR="001C3806">
        <w:t>3</w:t>
      </w:r>
      <w:proofErr w:type="gramEnd"/>
      <w:r w:rsidR="001C3806">
        <w:t>, existe a tendência de ocorrer um</w:t>
      </w:r>
      <w:r w:rsidR="00B124A6">
        <w:t xml:space="preserve"> excesso</w:t>
      </w:r>
      <w:r w:rsidR="00C50BCA">
        <w:t xml:space="preserve"> </w:t>
      </w:r>
      <w:r w:rsidR="00CF6778">
        <w:t>de instrumentos</w:t>
      </w:r>
      <w:r w:rsidR="001C3806">
        <w:t>, o qual</w:t>
      </w:r>
      <w:r w:rsidR="0052472D">
        <w:t xml:space="preserve"> provocar superestimação nos </w:t>
      </w:r>
      <w:r w:rsidR="0052472D" w:rsidRPr="0052472D">
        <w:t>coeficientes das variáveis endógenas</w:t>
      </w:r>
      <w:r w:rsidR="0052472D">
        <w:t xml:space="preserve"> utilizadas como instrumentos</w:t>
      </w:r>
      <w:r w:rsidR="001C3806">
        <w:t>.</w:t>
      </w:r>
      <w:r w:rsidR="0052472D">
        <w:t xml:space="preserve"> Isto </w:t>
      </w:r>
      <w:r w:rsidR="00C50BCA">
        <w:t xml:space="preserve">faz com que a regressão </w:t>
      </w:r>
      <w:r w:rsidR="00B124A6">
        <w:t xml:space="preserve">se distancie dramaticamente do que seria </w:t>
      </w:r>
      <w:proofErr w:type="spellStart"/>
      <w:r w:rsidR="00B124A6">
        <w:t>assintoticamente</w:t>
      </w:r>
      <w:proofErr w:type="spellEnd"/>
      <w:r w:rsidR="00B124A6">
        <w:t xml:space="preserve"> ideal. Além do mais, o teste de </w:t>
      </w:r>
      <w:proofErr w:type="spellStart"/>
      <w:r w:rsidR="00B124A6">
        <w:t>Hansem</w:t>
      </w:r>
      <w:proofErr w:type="spellEnd"/>
      <w:r w:rsidR="00B124A6">
        <w:t xml:space="preserve"> é sensível ao número relativamente demasiado de instrumentos, pois gera p-valores </w:t>
      </w:r>
      <w:r w:rsidR="005B2EA7">
        <w:t xml:space="preserve">inverossímeis. Para evitar a proliferação de instrumentos, </w:t>
      </w:r>
      <w:r w:rsidR="005B2EA7" w:rsidRPr="005B2EA7">
        <w:t xml:space="preserve">o aplicativo </w:t>
      </w:r>
      <w:proofErr w:type="spellStart"/>
      <w:r w:rsidR="005B2EA7" w:rsidRPr="005B2EA7">
        <w:t>St</w:t>
      </w:r>
      <w:r w:rsidR="005B2EA7">
        <w:t>ata</w:t>
      </w:r>
      <w:proofErr w:type="spellEnd"/>
      <w:r w:rsidR="005B2EA7">
        <w:t xml:space="preserve"> 12 oferece uma função que impede que os instrumentos se espalhem, por meio de uma matriz de instrumentos acachapada. </w:t>
      </w:r>
      <w:r w:rsidR="00503B6B">
        <w:t xml:space="preserve">Para tal foi utilizada a subopção </w:t>
      </w:r>
      <w:r w:rsidR="00503B6B" w:rsidRPr="005B2EA7">
        <w:rPr>
          <w:i/>
        </w:rPr>
        <w:t>colapse</w:t>
      </w:r>
      <w:r w:rsidR="00363E2F">
        <w:rPr>
          <w:rStyle w:val="Refdenotaderodap"/>
          <w:i/>
        </w:rPr>
        <w:footnoteReference w:id="16"/>
      </w:r>
      <w:r w:rsidR="00503B6B">
        <w:rPr>
          <w:i/>
        </w:rPr>
        <w:t xml:space="preserve"> </w:t>
      </w:r>
      <w:r w:rsidR="00503B6B">
        <w:t xml:space="preserve">disponível para a regressão com o comando </w:t>
      </w:r>
      <w:r w:rsidR="00503B6B" w:rsidRPr="00503B6B">
        <w:rPr>
          <w:i/>
        </w:rPr>
        <w:t>xtabond2</w:t>
      </w:r>
      <w:r w:rsidR="001B5B74">
        <w:rPr>
          <w:rStyle w:val="Refdenotaderodap"/>
          <w:i/>
        </w:rPr>
        <w:footnoteReference w:id="17"/>
      </w:r>
      <w:r w:rsidR="00503B6B">
        <w:t>.</w:t>
      </w:r>
    </w:p>
    <w:p w14:paraId="2B185C45" w14:textId="7240CF69" w:rsidR="001B5B74" w:rsidRPr="00503B6B" w:rsidRDefault="00A43A15" w:rsidP="00FC2664">
      <w:pPr>
        <w:spacing w:line="480" w:lineRule="auto"/>
        <w:ind w:firstLine="851"/>
      </w:pPr>
      <w:r>
        <w:t xml:space="preserve">Por fim, resta esclarecer que </w:t>
      </w:r>
      <w:r w:rsidR="00506341">
        <w:t xml:space="preserve">se utilizou a estimação por meio do </w:t>
      </w:r>
      <w:proofErr w:type="spellStart"/>
      <w:r w:rsidRPr="00506341">
        <w:rPr>
          <w:i/>
        </w:rPr>
        <w:t>two-step</w:t>
      </w:r>
      <w:proofErr w:type="spellEnd"/>
      <w:r>
        <w:t xml:space="preserve"> ao invés de </w:t>
      </w:r>
      <w:proofErr w:type="spellStart"/>
      <w:r w:rsidRPr="00506341">
        <w:rPr>
          <w:i/>
        </w:rPr>
        <w:t>one-step</w:t>
      </w:r>
      <w:proofErr w:type="spellEnd"/>
      <w:r>
        <w:t xml:space="preserve">, pelo fato do primeiro produzir coeficientes mais eficientes, com viés de </w:t>
      </w:r>
      <w:proofErr w:type="gramStart"/>
      <w:r>
        <w:t>baixa e menor erro-padrão</w:t>
      </w:r>
      <w:proofErr w:type="gramEnd"/>
      <w:r>
        <w:t xml:space="preserve">. </w:t>
      </w:r>
      <w:r w:rsidR="005D6FA2">
        <w:t>E</w:t>
      </w:r>
      <w:r w:rsidR="0004787B">
        <w:t>sse</w:t>
      </w:r>
      <w:r w:rsidR="005D6FA2">
        <w:t xml:space="preserve"> </w:t>
      </w:r>
      <w:r w:rsidR="0004787B">
        <w:t>estimador</w:t>
      </w:r>
      <w:r w:rsidR="005D6FA2">
        <w:t xml:space="preserve"> </w:t>
      </w:r>
      <w:r w:rsidR="0004787B">
        <w:t>é</w:t>
      </w:r>
      <w:r w:rsidR="005D6FA2">
        <w:t>,</w:t>
      </w:r>
      <w:r>
        <w:t xml:space="preserve"> por definição</w:t>
      </w:r>
      <w:r w:rsidR="005D6FA2">
        <w:t>,</w:t>
      </w:r>
      <w:r>
        <w:t xml:space="preserve"> robusto </w:t>
      </w:r>
      <w:r w:rsidR="00506341">
        <w:t>e eficiente</w:t>
      </w:r>
      <w:r w:rsidR="0004787B">
        <w:t xml:space="preserve"> </w:t>
      </w:r>
      <w:r w:rsidR="00A03C00">
        <w:t>à</w:t>
      </w:r>
      <w:proofErr w:type="gramStart"/>
      <w:r w:rsidR="004032FE">
        <w:t xml:space="preserve"> </w:t>
      </w:r>
      <w:r w:rsidR="00506341">
        <w:t xml:space="preserve"> </w:t>
      </w:r>
      <w:proofErr w:type="gramEnd"/>
      <w:r w:rsidR="00506341">
        <w:t xml:space="preserve">presença de heterocedasticidade e </w:t>
      </w:r>
      <w:r w:rsidR="00506341">
        <w:lastRenderedPageBreak/>
        <w:t xml:space="preserve">autocorrelação. </w:t>
      </w:r>
      <w:r w:rsidR="005D6FA2">
        <w:t>Contudo</w:t>
      </w:r>
      <w:r w:rsidR="0004787B">
        <w:t>, o respectivo estimador das variâncias pode subestimar as reais variâncias</w:t>
      </w:r>
      <w:r w:rsidR="007C290D">
        <w:t xml:space="preserve">. Para corrigir esse problema se utilizou o método proposto por </w:t>
      </w:r>
      <w:proofErr w:type="spellStart"/>
      <w:r w:rsidR="007C290D" w:rsidRPr="007C290D">
        <w:t>Windmeijer</w:t>
      </w:r>
      <w:proofErr w:type="spellEnd"/>
      <w:r w:rsidR="007C290D">
        <w:t xml:space="preserve"> (2005), </w:t>
      </w:r>
      <w:r w:rsidR="00B218DA">
        <w:t xml:space="preserve">cujo comando no </w:t>
      </w:r>
      <w:proofErr w:type="spellStart"/>
      <w:r w:rsidR="00B218DA" w:rsidRPr="00B218DA">
        <w:rPr>
          <w:i/>
        </w:rPr>
        <w:t>stata</w:t>
      </w:r>
      <w:proofErr w:type="spellEnd"/>
      <w:r w:rsidR="00B218DA">
        <w:t xml:space="preserve"> é a subopção </w:t>
      </w:r>
      <w:proofErr w:type="spellStart"/>
      <w:r w:rsidR="00B218DA" w:rsidRPr="00B218DA">
        <w:rPr>
          <w:i/>
        </w:rPr>
        <w:t>robust</w:t>
      </w:r>
      <w:proofErr w:type="spellEnd"/>
      <w:r w:rsidR="00B218DA">
        <w:rPr>
          <w:rStyle w:val="Refdenotaderodap"/>
          <w:i/>
        </w:rPr>
        <w:footnoteReference w:id="18"/>
      </w:r>
      <w:r w:rsidR="00B218DA">
        <w:t>.</w:t>
      </w:r>
    </w:p>
    <w:p w14:paraId="60989B41" w14:textId="77777777" w:rsidR="00F82B07" w:rsidRDefault="00F82B07" w:rsidP="00FC2664">
      <w:pPr>
        <w:pStyle w:val="Ttulo2"/>
        <w:spacing w:before="0" w:line="480" w:lineRule="auto"/>
        <w:rPr>
          <w:color w:val="auto"/>
        </w:rPr>
      </w:pPr>
    </w:p>
    <w:p w14:paraId="598904CC" w14:textId="77777777" w:rsidR="00300B38" w:rsidRDefault="00300B38" w:rsidP="00FC2664">
      <w:pPr>
        <w:pStyle w:val="Ttulo2"/>
        <w:spacing w:before="0" w:line="480" w:lineRule="auto"/>
        <w:rPr>
          <w:color w:val="auto"/>
        </w:rPr>
      </w:pPr>
      <w:r w:rsidRPr="000A0093">
        <w:rPr>
          <w:color w:val="auto"/>
        </w:rPr>
        <w:t>4. Análise dos resultados</w:t>
      </w:r>
    </w:p>
    <w:p w14:paraId="7CC734C4" w14:textId="50F94B1B" w:rsidR="00242467" w:rsidRDefault="004C6607" w:rsidP="00242467">
      <w:pPr>
        <w:spacing w:line="480" w:lineRule="auto"/>
        <w:ind w:firstLine="851"/>
      </w:pPr>
      <w:r w:rsidRPr="000A0093">
        <w:t xml:space="preserve">Os resultados </w:t>
      </w:r>
      <w:r w:rsidR="00463ADD">
        <w:t>do modelo MMG-S</w:t>
      </w:r>
      <w:r w:rsidRPr="000A0093">
        <w:t xml:space="preserve"> são apresentados na tabela </w:t>
      </w:r>
      <w:r w:rsidR="006C65FE">
        <w:t>1</w:t>
      </w:r>
      <w:r w:rsidRPr="000A0093">
        <w:t xml:space="preserve">. </w:t>
      </w:r>
      <w:r w:rsidR="007D56D3">
        <w:t>Contudo, antes de prosseguir com a análise dos resultados</w:t>
      </w:r>
      <w:r w:rsidR="00581D4C">
        <w:t>,</w:t>
      </w:r>
      <w:r w:rsidR="007D56D3">
        <w:t xml:space="preserve"> </w:t>
      </w:r>
      <w:r w:rsidR="00581D4C">
        <w:t>f</w:t>
      </w:r>
      <w:r w:rsidR="007D56D3">
        <w:t xml:space="preserve">az-se necessário </w:t>
      </w:r>
      <w:r w:rsidR="00E77AE2">
        <w:t>avaliar</w:t>
      </w:r>
      <w:r w:rsidR="007D56D3">
        <w:t xml:space="preserve"> os testes de consistência do modelo.</w:t>
      </w:r>
      <w:r w:rsidR="00242467">
        <w:t xml:space="preserve"> </w:t>
      </w:r>
      <w:r w:rsidR="00242467" w:rsidRPr="00512C54">
        <w:t>O teste da estatística J de Hansen</w:t>
      </w:r>
      <w:r w:rsidR="00242467">
        <w:t xml:space="preserve"> apontou</w:t>
      </w:r>
      <w:r w:rsidR="00242467" w:rsidRPr="000A0093">
        <w:t xml:space="preserve"> que H</w:t>
      </w:r>
      <w:r w:rsidR="00242467" w:rsidRPr="000A0093">
        <w:rPr>
          <w:vertAlign w:val="subscript"/>
        </w:rPr>
        <w:t xml:space="preserve">0 </w:t>
      </w:r>
      <w:r w:rsidR="00242467" w:rsidRPr="000A0093">
        <w:t xml:space="preserve">não pode ser rejeitada, o que valida os instrumentos utilizados. Também são reportadas os testes de diferenças nos testes Hansen para exogeneidade do grupo de instrumentos, todos os quatro testes apresentados indicam adequação tantos dos instrumentos </w:t>
      </w:r>
      <w:proofErr w:type="gramStart"/>
      <w:r w:rsidR="00242467" w:rsidRPr="000A0093">
        <w:t>sob suspeita</w:t>
      </w:r>
      <w:proofErr w:type="gramEnd"/>
      <w:r w:rsidR="00242467" w:rsidRPr="000A0093">
        <w:t xml:space="preserve"> de quebra de exogeneidade estrita como também para o subgrupo de instrumentos classificados como estritamente exógenos. </w:t>
      </w:r>
      <w:r w:rsidR="00242467">
        <w:t>Já o</w:t>
      </w:r>
      <w:r w:rsidR="00242467" w:rsidRPr="000A0093">
        <w:t>s testes</w:t>
      </w:r>
      <w:r w:rsidR="00242467">
        <w:t xml:space="preserve"> de </w:t>
      </w:r>
      <w:r w:rsidR="00242467" w:rsidRPr="000A0093">
        <w:t xml:space="preserve">autocorrelação apresentados </w:t>
      </w:r>
      <w:r w:rsidR="00242467">
        <w:t xml:space="preserve">não </w:t>
      </w:r>
      <w:r w:rsidR="00242467" w:rsidRPr="000A0093">
        <w:t>apontara</w:t>
      </w:r>
      <w:r w:rsidR="00242467">
        <w:t xml:space="preserve">m para presença de autocorreção, pois tanto o </w:t>
      </w:r>
      <w:r w:rsidR="00242467" w:rsidRPr="000A0093">
        <w:t>de primeira ordem</w:t>
      </w:r>
      <w:r w:rsidR="00242467">
        <w:t xml:space="preserve">, quanto o </w:t>
      </w:r>
      <w:r w:rsidR="00242467" w:rsidRPr="000A0093">
        <w:t>de segunda</w:t>
      </w:r>
      <w:r w:rsidR="00242467">
        <w:t xml:space="preserve"> ordem</w:t>
      </w:r>
      <w:r w:rsidR="00242467" w:rsidRPr="000A0093">
        <w:t xml:space="preserve"> </w:t>
      </w:r>
      <w:r w:rsidR="00242467">
        <w:t>apresentaram</w:t>
      </w:r>
      <w:r w:rsidR="00242467" w:rsidRPr="000A0093">
        <w:t xml:space="preserve"> estatísticas não significativas. Destarte, a consistência do modelo é reafirmada.</w:t>
      </w:r>
    </w:p>
    <w:p w14:paraId="5E66A7AB" w14:textId="77777777" w:rsidR="00F82B07" w:rsidRDefault="00F82B07" w:rsidP="00F82B07">
      <w:pPr>
        <w:tabs>
          <w:tab w:val="left" w:pos="0"/>
        </w:tabs>
        <w:spacing w:line="240" w:lineRule="auto"/>
        <w:rPr>
          <w:b/>
        </w:rPr>
      </w:pPr>
    </w:p>
    <w:p w14:paraId="31A1BB33" w14:textId="5ACE2271" w:rsidR="001F1324" w:rsidRDefault="001F1324" w:rsidP="00F82B07">
      <w:pPr>
        <w:tabs>
          <w:tab w:val="left" w:pos="0"/>
        </w:tabs>
        <w:spacing w:line="240" w:lineRule="auto"/>
      </w:pPr>
      <w:r w:rsidRPr="000A0093">
        <w:rPr>
          <w:b/>
        </w:rPr>
        <w:t xml:space="preserve">Tabela </w:t>
      </w:r>
      <w:r w:rsidR="00363E2F">
        <w:rPr>
          <w:b/>
        </w:rPr>
        <w:t>1</w:t>
      </w:r>
      <w:r w:rsidRPr="000A0093">
        <w:rPr>
          <w:b/>
        </w:rPr>
        <w:t xml:space="preserve"> </w:t>
      </w:r>
      <w:r w:rsidRPr="000A0093">
        <w:t>- Regressão por MMG</w:t>
      </w:r>
      <w:r w:rsidR="00D94037">
        <w:t xml:space="preserve"> ajustada</w:t>
      </w:r>
    </w:p>
    <w:tbl>
      <w:tblPr>
        <w:tblW w:w="9498" w:type="dxa"/>
        <w:tblInd w:w="55" w:type="dxa"/>
        <w:tblCellMar>
          <w:left w:w="70" w:type="dxa"/>
          <w:right w:w="70" w:type="dxa"/>
        </w:tblCellMar>
        <w:tblLook w:val="04A0" w:firstRow="1" w:lastRow="0" w:firstColumn="1" w:lastColumn="0" w:noHBand="0" w:noVBand="1"/>
      </w:tblPr>
      <w:tblGrid>
        <w:gridCol w:w="1149"/>
        <w:gridCol w:w="142"/>
        <w:gridCol w:w="1062"/>
        <w:gridCol w:w="214"/>
        <w:gridCol w:w="1195"/>
        <w:gridCol w:w="222"/>
        <w:gridCol w:w="993"/>
        <w:gridCol w:w="974"/>
        <w:gridCol w:w="1062"/>
        <w:gridCol w:w="137"/>
        <w:gridCol w:w="1317"/>
        <w:gridCol w:w="220"/>
        <w:gridCol w:w="748"/>
        <w:gridCol w:w="63"/>
      </w:tblGrid>
      <w:tr w:rsidR="001F1324" w:rsidRPr="009C49B3" w14:paraId="32374A35" w14:textId="77777777" w:rsidTr="00DA7BD4">
        <w:trPr>
          <w:trHeight w:val="309"/>
        </w:trPr>
        <w:tc>
          <w:tcPr>
            <w:tcW w:w="1149" w:type="dxa"/>
            <w:tcBorders>
              <w:top w:val="single" w:sz="4" w:space="0" w:color="auto"/>
              <w:left w:val="nil"/>
              <w:bottom w:val="single" w:sz="8" w:space="0" w:color="auto"/>
              <w:right w:val="nil"/>
            </w:tcBorders>
            <w:shd w:val="clear" w:color="auto" w:fill="auto"/>
            <w:vAlign w:val="center"/>
            <w:hideMark/>
          </w:tcPr>
          <w:p w14:paraId="2497569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Variável</w:t>
            </w:r>
          </w:p>
        </w:tc>
        <w:tc>
          <w:tcPr>
            <w:tcW w:w="1204" w:type="dxa"/>
            <w:gridSpan w:val="2"/>
            <w:tcBorders>
              <w:top w:val="single" w:sz="4" w:space="0" w:color="auto"/>
              <w:left w:val="nil"/>
              <w:bottom w:val="single" w:sz="8" w:space="0" w:color="auto"/>
              <w:right w:val="nil"/>
            </w:tcBorders>
            <w:shd w:val="clear" w:color="auto" w:fill="auto"/>
            <w:vAlign w:val="center"/>
            <w:hideMark/>
          </w:tcPr>
          <w:p w14:paraId="5CE1A822"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09" w:type="dxa"/>
            <w:gridSpan w:val="2"/>
            <w:tcBorders>
              <w:top w:val="single" w:sz="4" w:space="0" w:color="auto"/>
              <w:left w:val="nil"/>
              <w:bottom w:val="single" w:sz="8" w:space="0" w:color="auto"/>
              <w:right w:val="nil"/>
            </w:tcBorders>
            <w:shd w:val="clear" w:color="auto" w:fill="auto"/>
            <w:vAlign w:val="center"/>
            <w:hideMark/>
          </w:tcPr>
          <w:p w14:paraId="57FC12EA"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215" w:type="dxa"/>
            <w:gridSpan w:val="2"/>
            <w:tcBorders>
              <w:top w:val="single" w:sz="4" w:space="0" w:color="auto"/>
              <w:left w:val="nil"/>
              <w:bottom w:val="single" w:sz="8" w:space="0" w:color="auto"/>
              <w:right w:val="single" w:sz="4" w:space="0" w:color="auto"/>
            </w:tcBorders>
            <w:shd w:val="clear" w:color="auto" w:fill="auto"/>
            <w:vAlign w:val="center"/>
            <w:hideMark/>
          </w:tcPr>
          <w:p w14:paraId="7C6E90CB" w14:textId="77777777" w:rsidR="001F1324" w:rsidRPr="009C49B3" w:rsidRDefault="001F1324" w:rsidP="00F82B07">
            <w:pPr>
              <w:spacing w:line="240" w:lineRule="auto"/>
              <w:rPr>
                <w:rFonts w:eastAsia="Times New Roman"/>
                <w:sz w:val="20"/>
                <w:szCs w:val="20"/>
                <w:lang w:eastAsia="pt-BR"/>
              </w:rPr>
            </w:pPr>
            <w:proofErr w:type="spellStart"/>
            <w:r w:rsidRPr="009C49B3">
              <w:rPr>
                <w:rFonts w:eastAsia="Times New Roman"/>
                <w:sz w:val="20"/>
                <w:szCs w:val="20"/>
                <w:lang w:eastAsia="pt-BR"/>
              </w:rPr>
              <w:t>Prob</w:t>
            </w:r>
            <w:proofErr w:type="spellEnd"/>
            <w:r w:rsidRPr="009C49B3">
              <w:rPr>
                <w:rFonts w:eastAsia="Times New Roman"/>
                <w:sz w:val="20"/>
                <w:szCs w:val="20"/>
                <w:lang w:eastAsia="pt-BR"/>
              </w:rPr>
              <w:t>. &gt; t</w:t>
            </w:r>
          </w:p>
        </w:tc>
        <w:tc>
          <w:tcPr>
            <w:tcW w:w="974" w:type="dxa"/>
            <w:tcBorders>
              <w:top w:val="single" w:sz="4" w:space="0" w:color="auto"/>
              <w:left w:val="single" w:sz="4" w:space="0" w:color="auto"/>
              <w:bottom w:val="single" w:sz="8" w:space="0" w:color="auto"/>
              <w:right w:val="nil"/>
            </w:tcBorders>
            <w:shd w:val="clear" w:color="auto" w:fill="auto"/>
            <w:vAlign w:val="center"/>
            <w:hideMark/>
          </w:tcPr>
          <w:p w14:paraId="38B5AA44" w14:textId="77777777" w:rsidR="001F1324" w:rsidRPr="009C49B3" w:rsidRDefault="001F1324" w:rsidP="00F82B07">
            <w:pPr>
              <w:spacing w:line="240" w:lineRule="auto"/>
              <w:ind w:left="-70"/>
              <w:rPr>
                <w:rFonts w:eastAsia="Times New Roman"/>
                <w:sz w:val="20"/>
                <w:szCs w:val="20"/>
                <w:lang w:eastAsia="pt-BR"/>
              </w:rPr>
            </w:pPr>
            <w:r w:rsidRPr="009C49B3">
              <w:rPr>
                <w:rFonts w:eastAsia="Times New Roman"/>
                <w:sz w:val="20"/>
                <w:szCs w:val="20"/>
                <w:lang w:eastAsia="pt-BR"/>
              </w:rPr>
              <w:t>Variável</w:t>
            </w:r>
          </w:p>
        </w:tc>
        <w:tc>
          <w:tcPr>
            <w:tcW w:w="1062" w:type="dxa"/>
            <w:tcBorders>
              <w:top w:val="single" w:sz="4" w:space="0" w:color="auto"/>
              <w:left w:val="nil"/>
              <w:bottom w:val="single" w:sz="8" w:space="0" w:color="auto"/>
              <w:right w:val="nil"/>
            </w:tcBorders>
            <w:shd w:val="clear" w:color="auto" w:fill="auto"/>
            <w:vAlign w:val="center"/>
            <w:hideMark/>
          </w:tcPr>
          <w:p w14:paraId="2C51C98C"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54" w:type="dxa"/>
            <w:gridSpan w:val="2"/>
            <w:tcBorders>
              <w:top w:val="single" w:sz="4" w:space="0" w:color="auto"/>
              <w:left w:val="nil"/>
              <w:bottom w:val="single" w:sz="8" w:space="0" w:color="auto"/>
              <w:right w:val="nil"/>
            </w:tcBorders>
            <w:shd w:val="clear" w:color="auto" w:fill="auto"/>
            <w:vAlign w:val="center"/>
            <w:hideMark/>
          </w:tcPr>
          <w:p w14:paraId="58ADC75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031" w:type="dxa"/>
            <w:gridSpan w:val="3"/>
            <w:tcBorders>
              <w:top w:val="single" w:sz="4" w:space="0" w:color="auto"/>
              <w:left w:val="nil"/>
              <w:bottom w:val="single" w:sz="8" w:space="0" w:color="auto"/>
              <w:right w:val="nil"/>
            </w:tcBorders>
            <w:shd w:val="clear" w:color="auto" w:fill="auto"/>
            <w:vAlign w:val="center"/>
            <w:hideMark/>
          </w:tcPr>
          <w:p w14:paraId="1DC53963" w14:textId="77777777" w:rsidR="001F1324" w:rsidRPr="009C49B3" w:rsidRDefault="001F1324" w:rsidP="00F82B07">
            <w:pPr>
              <w:spacing w:line="240" w:lineRule="auto"/>
              <w:rPr>
                <w:rFonts w:eastAsia="Times New Roman"/>
                <w:sz w:val="20"/>
                <w:szCs w:val="20"/>
                <w:lang w:eastAsia="pt-BR"/>
              </w:rPr>
            </w:pPr>
            <w:proofErr w:type="spellStart"/>
            <w:r w:rsidRPr="009C49B3">
              <w:rPr>
                <w:rFonts w:eastAsia="Times New Roman"/>
                <w:sz w:val="20"/>
                <w:szCs w:val="20"/>
                <w:lang w:eastAsia="pt-BR"/>
              </w:rPr>
              <w:t>Prob</w:t>
            </w:r>
            <w:proofErr w:type="spellEnd"/>
            <w:r w:rsidRPr="009C49B3">
              <w:rPr>
                <w:rFonts w:eastAsia="Times New Roman"/>
                <w:sz w:val="20"/>
                <w:szCs w:val="20"/>
                <w:lang w:eastAsia="pt-BR"/>
              </w:rPr>
              <w:t>. &gt; t</w:t>
            </w:r>
          </w:p>
        </w:tc>
      </w:tr>
      <w:tr w:rsidR="009C49B3" w:rsidRPr="009C49B3" w14:paraId="613EFD49" w14:textId="77777777" w:rsidTr="00DA7BD4">
        <w:trPr>
          <w:gridAfter w:val="1"/>
          <w:wAfter w:w="63" w:type="dxa"/>
          <w:trHeight w:val="41"/>
        </w:trPr>
        <w:tc>
          <w:tcPr>
            <w:tcW w:w="1291" w:type="dxa"/>
            <w:gridSpan w:val="2"/>
            <w:tcBorders>
              <w:top w:val="nil"/>
              <w:left w:val="nil"/>
              <w:bottom w:val="nil"/>
              <w:right w:val="nil"/>
            </w:tcBorders>
            <w:shd w:val="clear" w:color="auto" w:fill="auto"/>
            <w:vAlign w:val="center"/>
            <w:hideMark/>
          </w:tcPr>
          <w:p w14:paraId="0E26926C" w14:textId="77777777" w:rsidR="009C49B3" w:rsidRPr="009C49B3" w:rsidRDefault="009C49B3" w:rsidP="00F82B07">
            <w:pPr>
              <w:spacing w:line="240" w:lineRule="auto"/>
              <w:rPr>
                <w:rFonts w:eastAsia="Times New Roman"/>
                <w:sz w:val="20"/>
                <w:szCs w:val="20"/>
                <w:lang w:eastAsia="pt-BR"/>
              </w:rPr>
            </w:pPr>
            <w:proofErr w:type="spellStart"/>
            <w:proofErr w:type="gramStart"/>
            <w:r w:rsidRPr="009C49B3">
              <w:rPr>
                <w:rFonts w:eastAsia="Times New Roman"/>
                <w:sz w:val="20"/>
                <w:szCs w:val="20"/>
                <w:lang w:eastAsia="pt-BR"/>
              </w:rPr>
              <w:t>vix</w:t>
            </w:r>
            <w:proofErr w:type="spellEnd"/>
            <w:proofErr w:type="gramEnd"/>
          </w:p>
        </w:tc>
        <w:tc>
          <w:tcPr>
            <w:tcW w:w="1276" w:type="dxa"/>
            <w:gridSpan w:val="2"/>
            <w:tcBorders>
              <w:top w:val="nil"/>
              <w:left w:val="nil"/>
              <w:bottom w:val="nil"/>
              <w:right w:val="nil"/>
            </w:tcBorders>
            <w:shd w:val="clear" w:color="auto" w:fill="auto"/>
            <w:noWrap/>
            <w:vAlign w:val="center"/>
            <w:hideMark/>
          </w:tcPr>
          <w:p w14:paraId="78CBF16D" w14:textId="77777777" w:rsidR="009C49B3" w:rsidRPr="009C49B3" w:rsidRDefault="009C49B3" w:rsidP="00F82B07">
            <w:pPr>
              <w:spacing w:line="240" w:lineRule="auto"/>
              <w:rPr>
                <w:color w:val="000000"/>
                <w:sz w:val="20"/>
                <w:szCs w:val="20"/>
              </w:rPr>
            </w:pPr>
            <w:r w:rsidRPr="009C49B3">
              <w:rPr>
                <w:color w:val="000000"/>
                <w:sz w:val="20"/>
                <w:szCs w:val="20"/>
              </w:rPr>
              <w:t>-0,1004337</w:t>
            </w:r>
          </w:p>
        </w:tc>
        <w:tc>
          <w:tcPr>
            <w:tcW w:w="1417" w:type="dxa"/>
            <w:gridSpan w:val="2"/>
            <w:tcBorders>
              <w:top w:val="nil"/>
              <w:left w:val="nil"/>
              <w:bottom w:val="nil"/>
              <w:right w:val="nil"/>
            </w:tcBorders>
            <w:shd w:val="clear" w:color="auto" w:fill="auto"/>
            <w:noWrap/>
            <w:vAlign w:val="center"/>
            <w:hideMark/>
          </w:tcPr>
          <w:p w14:paraId="42F9EBA4" w14:textId="77777777" w:rsidR="009C49B3" w:rsidRPr="009C49B3" w:rsidRDefault="009C49B3" w:rsidP="00F82B07">
            <w:pPr>
              <w:spacing w:line="240" w:lineRule="auto"/>
              <w:rPr>
                <w:color w:val="000000"/>
                <w:sz w:val="20"/>
                <w:szCs w:val="20"/>
              </w:rPr>
            </w:pPr>
            <w:r w:rsidRPr="009C49B3">
              <w:rPr>
                <w:color w:val="000000"/>
                <w:sz w:val="20"/>
                <w:szCs w:val="20"/>
              </w:rPr>
              <w:t>0,0473618</w:t>
            </w:r>
          </w:p>
        </w:tc>
        <w:tc>
          <w:tcPr>
            <w:tcW w:w="993" w:type="dxa"/>
            <w:tcBorders>
              <w:top w:val="nil"/>
              <w:left w:val="nil"/>
              <w:bottom w:val="nil"/>
              <w:right w:val="single" w:sz="4" w:space="0" w:color="auto"/>
            </w:tcBorders>
            <w:shd w:val="clear" w:color="auto" w:fill="auto"/>
            <w:noWrap/>
            <w:vAlign w:val="center"/>
            <w:hideMark/>
          </w:tcPr>
          <w:p w14:paraId="08D1D4F6" w14:textId="77777777" w:rsidR="009C49B3" w:rsidRPr="009C49B3" w:rsidRDefault="009C49B3" w:rsidP="00F82B07">
            <w:pPr>
              <w:spacing w:line="240" w:lineRule="auto"/>
              <w:rPr>
                <w:color w:val="000000"/>
                <w:sz w:val="20"/>
                <w:szCs w:val="20"/>
              </w:rPr>
            </w:pPr>
            <w:r w:rsidRPr="009C49B3">
              <w:rPr>
                <w:color w:val="000000"/>
                <w:sz w:val="20"/>
                <w:szCs w:val="20"/>
              </w:rPr>
              <w:t>0,042</w:t>
            </w:r>
          </w:p>
        </w:tc>
        <w:tc>
          <w:tcPr>
            <w:tcW w:w="974" w:type="dxa"/>
            <w:tcBorders>
              <w:top w:val="nil"/>
              <w:left w:val="nil"/>
              <w:bottom w:val="nil"/>
              <w:right w:val="nil"/>
            </w:tcBorders>
            <w:shd w:val="clear" w:color="auto" w:fill="auto"/>
            <w:vAlign w:val="center"/>
          </w:tcPr>
          <w:p w14:paraId="74E3A7CC" w14:textId="77777777" w:rsidR="009C49B3" w:rsidRPr="009C49B3" w:rsidRDefault="009C49B3" w:rsidP="00F82B07">
            <w:pPr>
              <w:spacing w:line="240" w:lineRule="auto"/>
              <w:rPr>
                <w:rFonts w:eastAsia="Times New Roman"/>
                <w:sz w:val="20"/>
                <w:szCs w:val="20"/>
                <w:lang w:eastAsia="pt-BR"/>
              </w:rPr>
            </w:pPr>
            <w:proofErr w:type="gramStart"/>
            <w:r w:rsidRPr="009C49B3">
              <w:rPr>
                <w:rFonts w:eastAsia="Times New Roman"/>
                <w:sz w:val="20"/>
                <w:szCs w:val="20"/>
                <w:lang w:eastAsia="pt-BR"/>
              </w:rPr>
              <w:t>cambio</w:t>
            </w:r>
            <w:proofErr w:type="gramEnd"/>
          </w:p>
        </w:tc>
        <w:tc>
          <w:tcPr>
            <w:tcW w:w="1199" w:type="dxa"/>
            <w:gridSpan w:val="2"/>
            <w:tcBorders>
              <w:top w:val="nil"/>
              <w:left w:val="nil"/>
              <w:bottom w:val="nil"/>
              <w:right w:val="nil"/>
            </w:tcBorders>
            <w:shd w:val="clear" w:color="auto" w:fill="auto"/>
            <w:noWrap/>
            <w:vAlign w:val="bottom"/>
          </w:tcPr>
          <w:p w14:paraId="5CA9336B"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84E-05</w:t>
            </w:r>
          </w:p>
        </w:tc>
        <w:tc>
          <w:tcPr>
            <w:tcW w:w="1537" w:type="dxa"/>
            <w:gridSpan w:val="2"/>
            <w:tcBorders>
              <w:top w:val="nil"/>
              <w:left w:val="nil"/>
              <w:bottom w:val="nil"/>
              <w:right w:val="nil"/>
            </w:tcBorders>
            <w:shd w:val="clear" w:color="auto" w:fill="auto"/>
            <w:noWrap/>
            <w:vAlign w:val="bottom"/>
          </w:tcPr>
          <w:p w14:paraId="622688E1"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36E-05</w:t>
            </w:r>
          </w:p>
        </w:tc>
        <w:tc>
          <w:tcPr>
            <w:tcW w:w="748" w:type="dxa"/>
            <w:tcBorders>
              <w:top w:val="nil"/>
              <w:left w:val="nil"/>
              <w:bottom w:val="nil"/>
              <w:right w:val="nil"/>
            </w:tcBorders>
            <w:shd w:val="clear" w:color="auto" w:fill="auto"/>
            <w:noWrap/>
            <w:vAlign w:val="bottom"/>
          </w:tcPr>
          <w:p w14:paraId="7B5E06FC"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186</w:t>
            </w:r>
          </w:p>
        </w:tc>
      </w:tr>
      <w:tr w:rsidR="00BD005A" w:rsidRPr="009C49B3" w14:paraId="2A8696A5"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bottom"/>
          </w:tcPr>
          <w:p w14:paraId="4887D095" w14:textId="77777777" w:rsidR="00BD005A" w:rsidRPr="00BD005A" w:rsidRDefault="00BD005A" w:rsidP="00F82B07">
            <w:pPr>
              <w:spacing w:line="240" w:lineRule="auto"/>
              <w:rPr>
                <w:color w:val="000000"/>
                <w:sz w:val="20"/>
                <w:szCs w:val="22"/>
              </w:rPr>
            </w:pPr>
            <w:proofErr w:type="spellStart"/>
            <w:proofErr w:type="gramStart"/>
            <w:r w:rsidRPr="00BD005A">
              <w:rPr>
                <w:color w:val="000000"/>
                <w:sz w:val="20"/>
                <w:szCs w:val="22"/>
              </w:rPr>
              <w:t>dowjones</w:t>
            </w:r>
            <w:proofErr w:type="spellEnd"/>
            <w:proofErr w:type="gramEnd"/>
          </w:p>
        </w:tc>
        <w:tc>
          <w:tcPr>
            <w:tcW w:w="1276" w:type="dxa"/>
            <w:gridSpan w:val="2"/>
            <w:tcBorders>
              <w:top w:val="nil"/>
              <w:left w:val="nil"/>
              <w:bottom w:val="nil"/>
              <w:right w:val="nil"/>
            </w:tcBorders>
            <w:shd w:val="clear" w:color="auto" w:fill="auto"/>
            <w:noWrap/>
            <w:vAlign w:val="bottom"/>
          </w:tcPr>
          <w:p w14:paraId="1D59AFA9" w14:textId="77777777" w:rsidR="00BD005A" w:rsidRPr="00BD005A" w:rsidRDefault="00B22DE3" w:rsidP="00F82B07">
            <w:pPr>
              <w:spacing w:line="240" w:lineRule="auto"/>
              <w:rPr>
                <w:color w:val="000000"/>
                <w:sz w:val="20"/>
                <w:szCs w:val="22"/>
              </w:rPr>
            </w:pPr>
            <w:r>
              <w:rPr>
                <w:color w:val="000000"/>
                <w:sz w:val="20"/>
                <w:szCs w:val="22"/>
              </w:rPr>
              <w:t>-0,</w:t>
            </w:r>
            <w:r w:rsidR="00BD005A" w:rsidRPr="00BD005A">
              <w:rPr>
                <w:color w:val="000000"/>
                <w:sz w:val="20"/>
                <w:szCs w:val="22"/>
              </w:rPr>
              <w:t>12033</w:t>
            </w:r>
          </w:p>
        </w:tc>
        <w:tc>
          <w:tcPr>
            <w:tcW w:w="1417" w:type="dxa"/>
            <w:gridSpan w:val="2"/>
            <w:tcBorders>
              <w:top w:val="nil"/>
              <w:left w:val="nil"/>
              <w:bottom w:val="nil"/>
              <w:right w:val="nil"/>
            </w:tcBorders>
            <w:shd w:val="clear" w:color="auto" w:fill="auto"/>
            <w:noWrap/>
            <w:vAlign w:val="bottom"/>
          </w:tcPr>
          <w:p w14:paraId="14B49D78"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051899</w:t>
            </w:r>
          </w:p>
        </w:tc>
        <w:tc>
          <w:tcPr>
            <w:tcW w:w="993" w:type="dxa"/>
            <w:tcBorders>
              <w:top w:val="nil"/>
              <w:left w:val="nil"/>
              <w:bottom w:val="nil"/>
              <w:right w:val="single" w:sz="4" w:space="0" w:color="auto"/>
            </w:tcBorders>
            <w:shd w:val="clear" w:color="auto" w:fill="auto"/>
            <w:noWrap/>
            <w:vAlign w:val="bottom"/>
          </w:tcPr>
          <w:p w14:paraId="7009CB79"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027</w:t>
            </w:r>
          </w:p>
        </w:tc>
        <w:tc>
          <w:tcPr>
            <w:tcW w:w="974" w:type="dxa"/>
            <w:tcBorders>
              <w:top w:val="nil"/>
              <w:left w:val="nil"/>
              <w:bottom w:val="nil"/>
              <w:right w:val="nil"/>
            </w:tcBorders>
            <w:shd w:val="clear" w:color="auto" w:fill="auto"/>
            <w:noWrap/>
            <w:vAlign w:val="center"/>
          </w:tcPr>
          <w:p w14:paraId="42CFDAB7" w14:textId="77777777" w:rsidR="00BD005A" w:rsidRPr="009C49B3" w:rsidRDefault="00BD005A" w:rsidP="00F82B07">
            <w:pPr>
              <w:spacing w:line="240" w:lineRule="auto"/>
              <w:rPr>
                <w:rFonts w:eastAsia="Times New Roman"/>
                <w:sz w:val="20"/>
                <w:szCs w:val="20"/>
                <w:lang w:eastAsia="pt-BR"/>
              </w:rPr>
            </w:pPr>
            <w:proofErr w:type="gramStart"/>
            <w:r w:rsidRPr="009C49B3">
              <w:rPr>
                <w:rFonts w:eastAsia="Times New Roman"/>
                <w:sz w:val="20"/>
                <w:szCs w:val="20"/>
                <w:lang w:eastAsia="pt-BR"/>
              </w:rPr>
              <w:t>pib2005</w:t>
            </w:r>
            <w:proofErr w:type="gramEnd"/>
          </w:p>
        </w:tc>
        <w:tc>
          <w:tcPr>
            <w:tcW w:w="1199" w:type="dxa"/>
            <w:gridSpan w:val="2"/>
            <w:tcBorders>
              <w:top w:val="nil"/>
              <w:left w:val="nil"/>
              <w:bottom w:val="nil"/>
              <w:right w:val="nil"/>
            </w:tcBorders>
            <w:shd w:val="clear" w:color="auto" w:fill="auto"/>
            <w:noWrap/>
            <w:vAlign w:val="bottom"/>
          </w:tcPr>
          <w:p w14:paraId="3B067EC4"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02977</w:t>
            </w:r>
          </w:p>
        </w:tc>
        <w:tc>
          <w:tcPr>
            <w:tcW w:w="1537" w:type="dxa"/>
            <w:gridSpan w:val="2"/>
            <w:tcBorders>
              <w:top w:val="nil"/>
              <w:left w:val="nil"/>
              <w:bottom w:val="nil"/>
              <w:right w:val="nil"/>
            </w:tcBorders>
            <w:shd w:val="clear" w:color="auto" w:fill="auto"/>
            <w:noWrap/>
            <w:vAlign w:val="bottom"/>
          </w:tcPr>
          <w:p w14:paraId="0339E858"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070492</w:t>
            </w:r>
          </w:p>
        </w:tc>
        <w:tc>
          <w:tcPr>
            <w:tcW w:w="748" w:type="dxa"/>
            <w:tcBorders>
              <w:top w:val="nil"/>
              <w:left w:val="nil"/>
              <w:bottom w:val="nil"/>
              <w:right w:val="nil"/>
            </w:tcBorders>
            <w:shd w:val="clear" w:color="auto" w:fill="auto"/>
            <w:noWrap/>
            <w:vAlign w:val="bottom"/>
          </w:tcPr>
          <w:p w14:paraId="5F9321DA"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676</w:t>
            </w:r>
          </w:p>
        </w:tc>
      </w:tr>
      <w:tr w:rsidR="009C49B3" w:rsidRPr="009C49B3" w14:paraId="29A865BE"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084DF862" w14:textId="77777777" w:rsidR="009C49B3" w:rsidRPr="009C49B3" w:rsidRDefault="009C49B3" w:rsidP="00F82B07">
            <w:pPr>
              <w:spacing w:line="240" w:lineRule="auto"/>
              <w:rPr>
                <w:rFonts w:eastAsia="Times New Roman"/>
                <w:sz w:val="20"/>
                <w:szCs w:val="20"/>
                <w:lang w:eastAsia="pt-BR"/>
              </w:rPr>
            </w:pPr>
            <w:proofErr w:type="spellStart"/>
            <w:proofErr w:type="gramStart"/>
            <w:r w:rsidRPr="009C49B3">
              <w:rPr>
                <w:rFonts w:eastAsia="Times New Roman"/>
                <w:sz w:val="20"/>
                <w:szCs w:val="20"/>
                <w:lang w:eastAsia="pt-BR"/>
              </w:rPr>
              <w:t>pibmp</w:t>
            </w:r>
            <w:proofErr w:type="spellEnd"/>
            <w:proofErr w:type="gramEnd"/>
          </w:p>
        </w:tc>
        <w:tc>
          <w:tcPr>
            <w:tcW w:w="1276" w:type="dxa"/>
            <w:gridSpan w:val="2"/>
            <w:tcBorders>
              <w:top w:val="nil"/>
              <w:left w:val="nil"/>
              <w:bottom w:val="nil"/>
              <w:right w:val="nil"/>
            </w:tcBorders>
            <w:shd w:val="clear" w:color="auto" w:fill="auto"/>
            <w:noWrap/>
            <w:vAlign w:val="center"/>
            <w:hideMark/>
          </w:tcPr>
          <w:p w14:paraId="323E832C" w14:textId="77777777" w:rsidR="009C49B3" w:rsidRPr="009C49B3" w:rsidRDefault="009C49B3" w:rsidP="00F82B07">
            <w:pPr>
              <w:spacing w:line="240" w:lineRule="auto"/>
              <w:rPr>
                <w:color w:val="000000"/>
                <w:sz w:val="20"/>
                <w:szCs w:val="20"/>
              </w:rPr>
            </w:pPr>
            <w:r w:rsidRPr="009C49B3">
              <w:rPr>
                <w:color w:val="000000"/>
                <w:sz w:val="20"/>
                <w:szCs w:val="20"/>
              </w:rPr>
              <w:t>0,074758</w:t>
            </w:r>
          </w:p>
        </w:tc>
        <w:tc>
          <w:tcPr>
            <w:tcW w:w="1417" w:type="dxa"/>
            <w:gridSpan w:val="2"/>
            <w:tcBorders>
              <w:top w:val="nil"/>
              <w:left w:val="nil"/>
              <w:bottom w:val="nil"/>
              <w:right w:val="nil"/>
            </w:tcBorders>
            <w:shd w:val="clear" w:color="auto" w:fill="auto"/>
            <w:noWrap/>
            <w:vAlign w:val="center"/>
            <w:hideMark/>
          </w:tcPr>
          <w:p w14:paraId="233AF1F9" w14:textId="77777777" w:rsidR="009C49B3" w:rsidRPr="009C49B3" w:rsidRDefault="009C49B3" w:rsidP="00F82B07">
            <w:pPr>
              <w:spacing w:line="240" w:lineRule="auto"/>
              <w:rPr>
                <w:color w:val="000000"/>
                <w:sz w:val="20"/>
                <w:szCs w:val="20"/>
              </w:rPr>
            </w:pPr>
            <w:r w:rsidRPr="009C49B3">
              <w:rPr>
                <w:color w:val="000000"/>
                <w:sz w:val="20"/>
                <w:szCs w:val="20"/>
              </w:rPr>
              <w:t>0,0354835</w:t>
            </w:r>
          </w:p>
        </w:tc>
        <w:tc>
          <w:tcPr>
            <w:tcW w:w="993" w:type="dxa"/>
            <w:tcBorders>
              <w:top w:val="nil"/>
              <w:left w:val="nil"/>
              <w:bottom w:val="nil"/>
              <w:right w:val="single" w:sz="4" w:space="0" w:color="auto"/>
            </w:tcBorders>
            <w:shd w:val="clear" w:color="auto" w:fill="auto"/>
            <w:noWrap/>
            <w:vAlign w:val="center"/>
            <w:hideMark/>
          </w:tcPr>
          <w:p w14:paraId="27619FC5" w14:textId="77777777" w:rsidR="009C49B3" w:rsidRPr="009C49B3" w:rsidRDefault="009C49B3" w:rsidP="00F82B07">
            <w:pPr>
              <w:spacing w:line="240" w:lineRule="auto"/>
              <w:rPr>
                <w:color w:val="000000"/>
                <w:sz w:val="20"/>
                <w:szCs w:val="20"/>
              </w:rPr>
            </w:pPr>
            <w:r w:rsidRPr="009C49B3">
              <w:rPr>
                <w:color w:val="000000"/>
                <w:sz w:val="20"/>
                <w:szCs w:val="20"/>
              </w:rPr>
              <w:t>0,043</w:t>
            </w:r>
          </w:p>
        </w:tc>
        <w:tc>
          <w:tcPr>
            <w:tcW w:w="974" w:type="dxa"/>
            <w:tcBorders>
              <w:top w:val="nil"/>
              <w:left w:val="nil"/>
              <w:bottom w:val="nil"/>
              <w:right w:val="nil"/>
            </w:tcBorders>
            <w:shd w:val="clear" w:color="auto" w:fill="auto"/>
            <w:vAlign w:val="center"/>
          </w:tcPr>
          <w:p w14:paraId="673B18E3" w14:textId="77777777" w:rsidR="009C49B3" w:rsidRPr="009C49B3" w:rsidRDefault="009C49B3" w:rsidP="00F82B07">
            <w:pPr>
              <w:spacing w:line="240" w:lineRule="auto"/>
              <w:rPr>
                <w:rFonts w:eastAsia="Times New Roman"/>
                <w:sz w:val="20"/>
                <w:szCs w:val="20"/>
                <w:lang w:eastAsia="pt-BR"/>
              </w:rPr>
            </w:pPr>
            <w:proofErr w:type="spellStart"/>
            <w:proofErr w:type="gramStart"/>
            <w:r w:rsidRPr="009C49B3">
              <w:rPr>
                <w:rFonts w:eastAsia="Times New Roman"/>
                <w:sz w:val="20"/>
                <w:szCs w:val="20"/>
                <w:lang w:eastAsia="pt-BR"/>
              </w:rPr>
              <w:t>tc</w:t>
            </w:r>
            <w:proofErr w:type="spellEnd"/>
            <w:proofErr w:type="gramEnd"/>
          </w:p>
        </w:tc>
        <w:tc>
          <w:tcPr>
            <w:tcW w:w="1199" w:type="dxa"/>
            <w:gridSpan w:val="2"/>
            <w:tcBorders>
              <w:top w:val="nil"/>
              <w:left w:val="nil"/>
              <w:bottom w:val="nil"/>
              <w:right w:val="nil"/>
            </w:tcBorders>
            <w:shd w:val="clear" w:color="auto" w:fill="auto"/>
            <w:noWrap/>
            <w:vAlign w:val="bottom"/>
          </w:tcPr>
          <w:p w14:paraId="6136B1E0" w14:textId="77777777" w:rsidR="009C49B3" w:rsidRPr="009C49B3" w:rsidRDefault="009C49B3" w:rsidP="00F82B07">
            <w:pPr>
              <w:spacing w:line="240" w:lineRule="auto"/>
              <w:rPr>
                <w:color w:val="000000"/>
                <w:sz w:val="20"/>
                <w:szCs w:val="20"/>
              </w:rPr>
            </w:pPr>
            <w:r w:rsidRPr="009C49B3">
              <w:rPr>
                <w:color w:val="000000"/>
                <w:sz w:val="20"/>
                <w:szCs w:val="20"/>
              </w:rPr>
              <w:t>-8</w:t>
            </w:r>
            <w:r w:rsidR="00B22DE3">
              <w:rPr>
                <w:color w:val="000000"/>
                <w:sz w:val="20"/>
                <w:szCs w:val="20"/>
              </w:rPr>
              <w:t>,</w:t>
            </w:r>
            <w:r w:rsidRPr="009C49B3">
              <w:rPr>
                <w:color w:val="000000"/>
                <w:sz w:val="20"/>
                <w:szCs w:val="20"/>
              </w:rPr>
              <w:t>18779</w:t>
            </w:r>
          </w:p>
        </w:tc>
        <w:tc>
          <w:tcPr>
            <w:tcW w:w="1537" w:type="dxa"/>
            <w:gridSpan w:val="2"/>
            <w:tcBorders>
              <w:top w:val="nil"/>
              <w:left w:val="nil"/>
              <w:bottom w:val="nil"/>
              <w:right w:val="nil"/>
            </w:tcBorders>
            <w:shd w:val="clear" w:color="auto" w:fill="auto"/>
            <w:noWrap/>
            <w:vAlign w:val="bottom"/>
          </w:tcPr>
          <w:p w14:paraId="0A52D06B" w14:textId="77777777" w:rsidR="009C49B3" w:rsidRPr="009C49B3" w:rsidRDefault="009C49B3" w:rsidP="00F82B07">
            <w:pPr>
              <w:spacing w:line="240" w:lineRule="auto"/>
              <w:rPr>
                <w:color w:val="000000"/>
                <w:sz w:val="20"/>
                <w:szCs w:val="20"/>
              </w:rPr>
            </w:pPr>
            <w:r w:rsidRPr="009C49B3">
              <w:rPr>
                <w:color w:val="000000"/>
                <w:sz w:val="20"/>
                <w:szCs w:val="20"/>
              </w:rPr>
              <w:t>2</w:t>
            </w:r>
            <w:r w:rsidR="00B22DE3">
              <w:rPr>
                <w:color w:val="000000"/>
                <w:sz w:val="20"/>
                <w:szCs w:val="20"/>
              </w:rPr>
              <w:t>,</w:t>
            </w:r>
            <w:r w:rsidRPr="009C49B3">
              <w:rPr>
                <w:color w:val="000000"/>
                <w:sz w:val="20"/>
                <w:szCs w:val="20"/>
              </w:rPr>
              <w:t>168403</w:t>
            </w:r>
          </w:p>
        </w:tc>
        <w:tc>
          <w:tcPr>
            <w:tcW w:w="748" w:type="dxa"/>
            <w:tcBorders>
              <w:top w:val="nil"/>
              <w:left w:val="nil"/>
              <w:bottom w:val="nil"/>
              <w:right w:val="nil"/>
            </w:tcBorders>
            <w:shd w:val="clear" w:color="auto" w:fill="auto"/>
            <w:noWrap/>
            <w:vAlign w:val="bottom"/>
          </w:tcPr>
          <w:p w14:paraId="26125DE2"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001</w:t>
            </w:r>
          </w:p>
        </w:tc>
      </w:tr>
      <w:tr w:rsidR="009C49B3" w:rsidRPr="009C49B3" w14:paraId="69CAB4AF" w14:textId="77777777" w:rsidTr="00DA7BD4">
        <w:trPr>
          <w:gridAfter w:val="1"/>
          <w:wAfter w:w="63" w:type="dxa"/>
          <w:trHeight w:val="61"/>
        </w:trPr>
        <w:tc>
          <w:tcPr>
            <w:tcW w:w="1291" w:type="dxa"/>
            <w:gridSpan w:val="2"/>
            <w:tcBorders>
              <w:top w:val="nil"/>
              <w:left w:val="nil"/>
              <w:right w:val="nil"/>
            </w:tcBorders>
            <w:shd w:val="clear" w:color="auto" w:fill="auto"/>
            <w:noWrap/>
            <w:vAlign w:val="center"/>
            <w:hideMark/>
          </w:tcPr>
          <w:p w14:paraId="3C53FE2B" w14:textId="77777777" w:rsidR="009C49B3" w:rsidRPr="009C49B3" w:rsidRDefault="009C49B3" w:rsidP="00F82B07">
            <w:pPr>
              <w:spacing w:line="240" w:lineRule="auto"/>
              <w:rPr>
                <w:rFonts w:eastAsia="Times New Roman"/>
                <w:sz w:val="20"/>
                <w:szCs w:val="20"/>
                <w:lang w:eastAsia="pt-BR"/>
              </w:rPr>
            </w:pPr>
            <w:proofErr w:type="spellStart"/>
            <w:proofErr w:type="gramStart"/>
            <w:r w:rsidRPr="009C49B3">
              <w:rPr>
                <w:rFonts w:eastAsia="Times New Roman"/>
                <w:sz w:val="20"/>
                <w:szCs w:val="20"/>
                <w:lang w:eastAsia="pt-BR"/>
              </w:rPr>
              <w:t>ffr</w:t>
            </w:r>
            <w:proofErr w:type="spellEnd"/>
            <w:proofErr w:type="gramEnd"/>
          </w:p>
        </w:tc>
        <w:tc>
          <w:tcPr>
            <w:tcW w:w="1276" w:type="dxa"/>
            <w:gridSpan w:val="2"/>
            <w:tcBorders>
              <w:top w:val="nil"/>
              <w:left w:val="nil"/>
              <w:right w:val="nil"/>
            </w:tcBorders>
            <w:shd w:val="clear" w:color="auto" w:fill="auto"/>
            <w:noWrap/>
            <w:vAlign w:val="center"/>
            <w:hideMark/>
          </w:tcPr>
          <w:p w14:paraId="7D4A90C8" w14:textId="77777777" w:rsidR="009C49B3" w:rsidRPr="009C49B3" w:rsidRDefault="009C49B3" w:rsidP="00F82B07">
            <w:pPr>
              <w:spacing w:line="240" w:lineRule="auto"/>
              <w:rPr>
                <w:color w:val="000000"/>
                <w:sz w:val="20"/>
                <w:szCs w:val="20"/>
              </w:rPr>
            </w:pPr>
            <w:r w:rsidRPr="009C49B3">
              <w:rPr>
                <w:color w:val="000000"/>
                <w:sz w:val="20"/>
                <w:szCs w:val="20"/>
              </w:rPr>
              <w:t>-0,1848405</w:t>
            </w:r>
          </w:p>
        </w:tc>
        <w:tc>
          <w:tcPr>
            <w:tcW w:w="1417" w:type="dxa"/>
            <w:gridSpan w:val="2"/>
            <w:tcBorders>
              <w:top w:val="nil"/>
              <w:left w:val="nil"/>
              <w:right w:val="nil"/>
            </w:tcBorders>
            <w:shd w:val="clear" w:color="auto" w:fill="auto"/>
            <w:noWrap/>
            <w:vAlign w:val="center"/>
            <w:hideMark/>
          </w:tcPr>
          <w:p w14:paraId="30A14EB4" w14:textId="77777777" w:rsidR="009C49B3" w:rsidRPr="009C49B3" w:rsidRDefault="009C49B3" w:rsidP="00F82B07">
            <w:pPr>
              <w:spacing w:line="240" w:lineRule="auto"/>
              <w:rPr>
                <w:color w:val="000000"/>
                <w:sz w:val="20"/>
                <w:szCs w:val="20"/>
              </w:rPr>
            </w:pPr>
            <w:r w:rsidRPr="009C49B3">
              <w:rPr>
                <w:color w:val="000000"/>
                <w:sz w:val="20"/>
                <w:szCs w:val="20"/>
              </w:rPr>
              <w:t>0,0879383</w:t>
            </w:r>
          </w:p>
        </w:tc>
        <w:tc>
          <w:tcPr>
            <w:tcW w:w="993" w:type="dxa"/>
            <w:tcBorders>
              <w:top w:val="nil"/>
              <w:left w:val="nil"/>
              <w:right w:val="single" w:sz="4" w:space="0" w:color="auto"/>
            </w:tcBorders>
            <w:shd w:val="clear" w:color="auto" w:fill="auto"/>
            <w:noWrap/>
            <w:vAlign w:val="center"/>
            <w:hideMark/>
          </w:tcPr>
          <w:p w14:paraId="37552795" w14:textId="77777777" w:rsidR="009C49B3" w:rsidRPr="009C49B3" w:rsidRDefault="009C49B3" w:rsidP="00F82B07">
            <w:pPr>
              <w:spacing w:line="240" w:lineRule="auto"/>
              <w:rPr>
                <w:color w:val="000000"/>
                <w:sz w:val="20"/>
                <w:szCs w:val="20"/>
              </w:rPr>
            </w:pPr>
            <w:r w:rsidRPr="009C49B3">
              <w:rPr>
                <w:color w:val="000000"/>
                <w:sz w:val="20"/>
                <w:szCs w:val="20"/>
              </w:rPr>
              <w:t>0,044</w:t>
            </w:r>
          </w:p>
        </w:tc>
        <w:tc>
          <w:tcPr>
            <w:tcW w:w="974" w:type="dxa"/>
            <w:tcBorders>
              <w:top w:val="nil"/>
              <w:left w:val="nil"/>
              <w:right w:val="nil"/>
            </w:tcBorders>
            <w:shd w:val="clear" w:color="auto" w:fill="auto"/>
            <w:vAlign w:val="center"/>
          </w:tcPr>
          <w:p w14:paraId="58DC50F3" w14:textId="77777777" w:rsidR="009C49B3" w:rsidRPr="009C49B3" w:rsidRDefault="009C49B3" w:rsidP="00F82B07">
            <w:pPr>
              <w:spacing w:line="240" w:lineRule="auto"/>
              <w:rPr>
                <w:rFonts w:eastAsia="Times New Roman"/>
                <w:sz w:val="20"/>
                <w:szCs w:val="20"/>
                <w:lang w:eastAsia="pt-BR"/>
              </w:rPr>
            </w:pPr>
            <w:proofErr w:type="gramStart"/>
            <w:r w:rsidRPr="009C49B3">
              <w:rPr>
                <w:rFonts w:eastAsia="Times New Roman"/>
                <w:sz w:val="20"/>
                <w:szCs w:val="20"/>
                <w:lang w:eastAsia="pt-BR"/>
              </w:rPr>
              <w:t>reservas</w:t>
            </w:r>
            <w:proofErr w:type="gramEnd"/>
          </w:p>
        </w:tc>
        <w:tc>
          <w:tcPr>
            <w:tcW w:w="1199" w:type="dxa"/>
            <w:gridSpan w:val="2"/>
            <w:tcBorders>
              <w:top w:val="nil"/>
              <w:left w:val="nil"/>
              <w:right w:val="nil"/>
            </w:tcBorders>
            <w:shd w:val="clear" w:color="auto" w:fill="auto"/>
            <w:noWrap/>
            <w:vAlign w:val="bottom"/>
          </w:tcPr>
          <w:p w14:paraId="171A619B"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085807</w:t>
            </w:r>
          </w:p>
        </w:tc>
        <w:tc>
          <w:tcPr>
            <w:tcW w:w="1537" w:type="dxa"/>
            <w:gridSpan w:val="2"/>
            <w:tcBorders>
              <w:top w:val="nil"/>
              <w:left w:val="nil"/>
              <w:right w:val="nil"/>
            </w:tcBorders>
            <w:shd w:val="clear" w:color="auto" w:fill="auto"/>
            <w:noWrap/>
            <w:vAlign w:val="bottom"/>
          </w:tcPr>
          <w:p w14:paraId="6A1F3D4A"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059709</w:t>
            </w:r>
          </w:p>
        </w:tc>
        <w:tc>
          <w:tcPr>
            <w:tcW w:w="748" w:type="dxa"/>
            <w:tcBorders>
              <w:top w:val="nil"/>
              <w:left w:val="nil"/>
              <w:right w:val="nil"/>
            </w:tcBorders>
            <w:shd w:val="clear" w:color="auto" w:fill="auto"/>
            <w:noWrap/>
            <w:vAlign w:val="bottom"/>
          </w:tcPr>
          <w:p w14:paraId="4B7F32BF"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16</w:t>
            </w:r>
          </w:p>
        </w:tc>
      </w:tr>
      <w:tr w:rsidR="009C49B3" w:rsidRPr="009C49B3" w14:paraId="61768F33" w14:textId="77777777" w:rsidTr="00DA7BD4">
        <w:trPr>
          <w:gridAfter w:val="1"/>
          <w:wAfter w:w="63" w:type="dxa"/>
          <w:trHeight w:val="61"/>
        </w:trPr>
        <w:tc>
          <w:tcPr>
            <w:tcW w:w="1291" w:type="dxa"/>
            <w:gridSpan w:val="2"/>
            <w:tcBorders>
              <w:top w:val="nil"/>
              <w:left w:val="nil"/>
              <w:bottom w:val="single" w:sz="4" w:space="0" w:color="auto"/>
              <w:right w:val="nil"/>
            </w:tcBorders>
            <w:shd w:val="clear" w:color="auto" w:fill="auto"/>
            <w:noWrap/>
            <w:vAlign w:val="center"/>
          </w:tcPr>
          <w:p w14:paraId="20827B9D" w14:textId="77777777" w:rsidR="009C49B3" w:rsidRPr="009C49B3" w:rsidRDefault="009C49B3" w:rsidP="00F82B07">
            <w:pPr>
              <w:spacing w:line="240" w:lineRule="auto"/>
              <w:rPr>
                <w:rFonts w:eastAsia="Times New Roman"/>
                <w:sz w:val="20"/>
                <w:szCs w:val="20"/>
                <w:lang w:eastAsia="pt-BR"/>
              </w:rPr>
            </w:pPr>
            <w:proofErr w:type="spellStart"/>
            <w:proofErr w:type="gramStart"/>
            <w:r w:rsidRPr="009C49B3">
              <w:rPr>
                <w:rFonts w:eastAsia="Times New Roman"/>
                <w:sz w:val="20"/>
                <w:szCs w:val="20"/>
                <w:lang w:eastAsia="pt-BR"/>
              </w:rPr>
              <w:t>jurosd</w:t>
            </w:r>
            <w:proofErr w:type="spellEnd"/>
            <w:proofErr w:type="gramEnd"/>
          </w:p>
        </w:tc>
        <w:tc>
          <w:tcPr>
            <w:tcW w:w="1276" w:type="dxa"/>
            <w:gridSpan w:val="2"/>
            <w:tcBorders>
              <w:top w:val="nil"/>
              <w:left w:val="nil"/>
              <w:bottom w:val="single" w:sz="4" w:space="0" w:color="auto"/>
              <w:right w:val="nil"/>
            </w:tcBorders>
            <w:shd w:val="clear" w:color="auto" w:fill="auto"/>
            <w:noWrap/>
            <w:vAlign w:val="center"/>
          </w:tcPr>
          <w:p w14:paraId="48CCE7F0" w14:textId="77777777" w:rsidR="009C49B3" w:rsidRPr="009C49B3" w:rsidRDefault="009C49B3" w:rsidP="00F82B07">
            <w:pPr>
              <w:spacing w:line="240" w:lineRule="auto"/>
              <w:rPr>
                <w:color w:val="000000"/>
                <w:sz w:val="20"/>
                <w:szCs w:val="20"/>
              </w:rPr>
            </w:pPr>
            <w:r w:rsidRPr="009C49B3">
              <w:rPr>
                <w:color w:val="000000"/>
                <w:sz w:val="20"/>
                <w:szCs w:val="20"/>
              </w:rPr>
              <w:t>-0,4563217</w:t>
            </w:r>
          </w:p>
        </w:tc>
        <w:tc>
          <w:tcPr>
            <w:tcW w:w="1417" w:type="dxa"/>
            <w:gridSpan w:val="2"/>
            <w:tcBorders>
              <w:top w:val="nil"/>
              <w:left w:val="nil"/>
              <w:bottom w:val="single" w:sz="4" w:space="0" w:color="auto"/>
              <w:right w:val="nil"/>
            </w:tcBorders>
            <w:shd w:val="clear" w:color="auto" w:fill="auto"/>
            <w:noWrap/>
            <w:vAlign w:val="center"/>
          </w:tcPr>
          <w:p w14:paraId="77EABAF9" w14:textId="77777777" w:rsidR="009C49B3" w:rsidRPr="009C49B3" w:rsidRDefault="009C49B3" w:rsidP="00F82B07">
            <w:pPr>
              <w:spacing w:line="240" w:lineRule="auto"/>
              <w:rPr>
                <w:color w:val="000000"/>
                <w:sz w:val="20"/>
                <w:szCs w:val="20"/>
              </w:rPr>
            </w:pPr>
            <w:r w:rsidRPr="009C49B3">
              <w:rPr>
                <w:color w:val="000000"/>
                <w:sz w:val="20"/>
                <w:szCs w:val="20"/>
              </w:rPr>
              <w:t>0,7198618</w:t>
            </w:r>
          </w:p>
        </w:tc>
        <w:tc>
          <w:tcPr>
            <w:tcW w:w="993" w:type="dxa"/>
            <w:tcBorders>
              <w:top w:val="nil"/>
              <w:left w:val="nil"/>
              <w:bottom w:val="single" w:sz="4" w:space="0" w:color="auto"/>
              <w:right w:val="single" w:sz="4" w:space="0" w:color="auto"/>
            </w:tcBorders>
            <w:shd w:val="clear" w:color="auto" w:fill="auto"/>
            <w:noWrap/>
            <w:vAlign w:val="center"/>
          </w:tcPr>
          <w:p w14:paraId="0313EC08" w14:textId="77777777" w:rsidR="009C49B3" w:rsidRPr="009C49B3" w:rsidRDefault="009C49B3" w:rsidP="00F82B07">
            <w:pPr>
              <w:spacing w:line="240" w:lineRule="auto"/>
              <w:rPr>
                <w:color w:val="000000"/>
                <w:sz w:val="20"/>
                <w:szCs w:val="20"/>
              </w:rPr>
            </w:pPr>
            <w:r w:rsidRPr="009C49B3">
              <w:rPr>
                <w:color w:val="000000"/>
                <w:sz w:val="20"/>
                <w:szCs w:val="20"/>
              </w:rPr>
              <w:t>0,531</w:t>
            </w:r>
          </w:p>
        </w:tc>
        <w:tc>
          <w:tcPr>
            <w:tcW w:w="974" w:type="dxa"/>
            <w:tcBorders>
              <w:top w:val="nil"/>
              <w:left w:val="nil"/>
              <w:bottom w:val="single" w:sz="4" w:space="0" w:color="auto"/>
              <w:right w:val="nil"/>
            </w:tcBorders>
            <w:shd w:val="clear" w:color="auto" w:fill="auto"/>
            <w:vAlign w:val="center"/>
          </w:tcPr>
          <w:p w14:paraId="2E528EE7" w14:textId="77777777" w:rsidR="009C49B3" w:rsidRPr="009C49B3" w:rsidRDefault="009C49B3" w:rsidP="00F82B07">
            <w:pPr>
              <w:spacing w:line="240" w:lineRule="auto"/>
              <w:rPr>
                <w:rFonts w:eastAsia="Times New Roman"/>
                <w:sz w:val="20"/>
                <w:szCs w:val="20"/>
                <w:lang w:eastAsia="pt-BR"/>
              </w:rPr>
            </w:pPr>
            <w:proofErr w:type="gramStart"/>
            <w:r w:rsidRPr="009C49B3">
              <w:rPr>
                <w:rFonts w:eastAsia="Times New Roman"/>
                <w:sz w:val="20"/>
                <w:szCs w:val="20"/>
                <w:lang w:eastAsia="pt-BR"/>
              </w:rPr>
              <w:t>constante</w:t>
            </w:r>
            <w:proofErr w:type="gramEnd"/>
          </w:p>
        </w:tc>
        <w:tc>
          <w:tcPr>
            <w:tcW w:w="1199" w:type="dxa"/>
            <w:gridSpan w:val="2"/>
            <w:tcBorders>
              <w:top w:val="nil"/>
              <w:left w:val="nil"/>
              <w:bottom w:val="single" w:sz="4" w:space="0" w:color="auto"/>
              <w:right w:val="nil"/>
            </w:tcBorders>
            <w:shd w:val="clear" w:color="auto" w:fill="auto"/>
            <w:noWrap/>
            <w:vAlign w:val="bottom"/>
          </w:tcPr>
          <w:p w14:paraId="3040FCE7"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347129</w:t>
            </w:r>
          </w:p>
        </w:tc>
        <w:tc>
          <w:tcPr>
            <w:tcW w:w="1537" w:type="dxa"/>
            <w:gridSpan w:val="2"/>
            <w:tcBorders>
              <w:top w:val="nil"/>
              <w:left w:val="nil"/>
              <w:bottom w:val="single" w:sz="4" w:space="0" w:color="auto"/>
              <w:right w:val="nil"/>
            </w:tcBorders>
            <w:shd w:val="clear" w:color="auto" w:fill="auto"/>
            <w:noWrap/>
            <w:vAlign w:val="bottom"/>
          </w:tcPr>
          <w:p w14:paraId="4832F140"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102628</w:t>
            </w:r>
          </w:p>
        </w:tc>
        <w:tc>
          <w:tcPr>
            <w:tcW w:w="748" w:type="dxa"/>
            <w:tcBorders>
              <w:top w:val="nil"/>
              <w:left w:val="nil"/>
              <w:bottom w:val="single" w:sz="4" w:space="0" w:color="auto"/>
              <w:right w:val="nil"/>
            </w:tcBorders>
            <w:shd w:val="clear" w:color="auto" w:fill="auto"/>
            <w:noWrap/>
            <w:vAlign w:val="bottom"/>
          </w:tcPr>
          <w:p w14:paraId="655DFB17" w14:textId="77777777" w:rsidR="009C49B3" w:rsidRPr="009C49B3" w:rsidRDefault="009C49B3" w:rsidP="00F82B07">
            <w:pPr>
              <w:spacing w:line="240" w:lineRule="auto"/>
              <w:rPr>
                <w:color w:val="000000"/>
                <w:sz w:val="20"/>
                <w:szCs w:val="20"/>
              </w:rPr>
            </w:pPr>
            <w:r w:rsidRPr="009C49B3">
              <w:rPr>
                <w:color w:val="000000"/>
                <w:sz w:val="20"/>
                <w:szCs w:val="20"/>
              </w:rPr>
              <w:t>0.002</w:t>
            </w:r>
          </w:p>
        </w:tc>
      </w:tr>
    </w:tbl>
    <w:p w14:paraId="1C607C4F" w14:textId="18FC700D" w:rsidR="001F1324" w:rsidRPr="00BD005A" w:rsidRDefault="001F1324" w:rsidP="00F82B07">
      <w:pPr>
        <w:spacing w:line="240" w:lineRule="auto"/>
        <w:rPr>
          <w:sz w:val="20"/>
          <w:szCs w:val="20"/>
        </w:rPr>
      </w:pPr>
      <w:r w:rsidRPr="00BD005A">
        <w:rPr>
          <w:sz w:val="20"/>
          <w:szCs w:val="20"/>
        </w:rPr>
        <w:t xml:space="preserve">Número de observações: </w:t>
      </w:r>
      <w:r w:rsidR="009C49B3" w:rsidRPr="00BD005A">
        <w:rPr>
          <w:sz w:val="20"/>
          <w:szCs w:val="20"/>
        </w:rPr>
        <w:t>546</w:t>
      </w:r>
      <w:r w:rsidRPr="00BD005A">
        <w:rPr>
          <w:sz w:val="20"/>
          <w:szCs w:val="20"/>
        </w:rPr>
        <w:t xml:space="preserve">. </w:t>
      </w:r>
      <w:r w:rsidR="00B9463A">
        <w:rPr>
          <w:sz w:val="20"/>
          <w:szCs w:val="20"/>
        </w:rPr>
        <w:t>D</w:t>
      </w:r>
      <w:r w:rsidR="00B9463A" w:rsidRPr="00B9463A">
        <w:rPr>
          <w:sz w:val="20"/>
          <w:szCs w:val="20"/>
        </w:rPr>
        <w:t xml:space="preserve">imensão </w:t>
      </w:r>
      <w:proofErr w:type="spellStart"/>
      <w:r w:rsidR="00B9463A" w:rsidRPr="00B9463A">
        <w:rPr>
          <w:sz w:val="20"/>
          <w:szCs w:val="20"/>
        </w:rPr>
        <w:t>cross-section</w:t>
      </w:r>
      <w:proofErr w:type="spellEnd"/>
      <w:r w:rsidR="00B9463A">
        <w:rPr>
          <w:sz w:val="20"/>
          <w:szCs w:val="20"/>
        </w:rPr>
        <w:t xml:space="preserve">: 42. </w:t>
      </w:r>
      <w:r w:rsidRPr="00BD005A">
        <w:rPr>
          <w:sz w:val="20"/>
          <w:szCs w:val="20"/>
        </w:rPr>
        <w:t xml:space="preserve">Número de instrumentos: </w:t>
      </w:r>
      <w:r w:rsidR="009C49B3" w:rsidRPr="00BD005A">
        <w:rPr>
          <w:sz w:val="20"/>
          <w:szCs w:val="20"/>
        </w:rPr>
        <w:t>20</w:t>
      </w:r>
      <w:r w:rsidRPr="00BD005A">
        <w:rPr>
          <w:sz w:val="20"/>
          <w:szCs w:val="20"/>
        </w:rPr>
        <w:t>.</w:t>
      </w:r>
    </w:p>
    <w:p w14:paraId="3C8DA1F0" w14:textId="77777777" w:rsidR="001F1324" w:rsidRPr="00BD005A" w:rsidRDefault="009C49B3" w:rsidP="00F82B07">
      <w:pPr>
        <w:spacing w:line="240" w:lineRule="auto"/>
        <w:rPr>
          <w:sz w:val="20"/>
          <w:szCs w:val="20"/>
        </w:rPr>
      </w:pPr>
      <w:r w:rsidRPr="00BD005A">
        <w:rPr>
          <w:sz w:val="20"/>
          <w:szCs w:val="20"/>
        </w:rPr>
        <w:t>Teste F(9, 33</w:t>
      </w:r>
      <w:r w:rsidR="001F1324" w:rsidRPr="00BD005A">
        <w:rPr>
          <w:sz w:val="20"/>
          <w:szCs w:val="20"/>
        </w:rPr>
        <w:t xml:space="preserve">) = </w:t>
      </w:r>
      <w:r w:rsidRPr="00BD005A">
        <w:rPr>
          <w:sz w:val="20"/>
          <w:szCs w:val="20"/>
        </w:rPr>
        <w:t>12</w:t>
      </w:r>
      <w:r w:rsidR="001F1324" w:rsidRPr="00BD005A">
        <w:rPr>
          <w:sz w:val="20"/>
          <w:szCs w:val="20"/>
        </w:rPr>
        <w:t>,</w:t>
      </w:r>
      <w:r w:rsidRPr="00BD005A">
        <w:rPr>
          <w:sz w:val="20"/>
          <w:szCs w:val="20"/>
        </w:rPr>
        <w:t>13</w:t>
      </w:r>
      <w:r w:rsidR="001F1324" w:rsidRPr="00BD005A">
        <w:rPr>
          <w:sz w:val="20"/>
          <w:szCs w:val="20"/>
        </w:rPr>
        <w:t xml:space="preserve">. </w:t>
      </w:r>
      <w:proofErr w:type="spellStart"/>
      <w:r w:rsidR="001F1324" w:rsidRPr="00BD005A">
        <w:rPr>
          <w:sz w:val="20"/>
          <w:szCs w:val="20"/>
        </w:rPr>
        <w:t>Prob</w:t>
      </w:r>
      <w:proofErr w:type="spellEnd"/>
      <w:r w:rsidR="001F1324" w:rsidRPr="00BD005A">
        <w:rPr>
          <w:sz w:val="20"/>
          <w:szCs w:val="20"/>
        </w:rPr>
        <w:t xml:space="preserve"> &gt; </w:t>
      </w:r>
      <w:r w:rsidRPr="00BD005A">
        <w:rPr>
          <w:sz w:val="20"/>
          <w:szCs w:val="20"/>
        </w:rPr>
        <w:t>F</w:t>
      </w:r>
      <w:proofErr w:type="gramStart"/>
      <w:r w:rsidR="001F1324" w:rsidRPr="00BD005A">
        <w:rPr>
          <w:sz w:val="20"/>
          <w:szCs w:val="20"/>
        </w:rPr>
        <w:t xml:space="preserve">   </w:t>
      </w:r>
      <w:proofErr w:type="gramEnd"/>
      <w:r w:rsidR="001F1324" w:rsidRPr="00BD005A">
        <w:rPr>
          <w:sz w:val="20"/>
          <w:szCs w:val="20"/>
        </w:rPr>
        <w:t>=     0,000</w:t>
      </w:r>
    </w:p>
    <w:p w14:paraId="208A59B8" w14:textId="77777777" w:rsidR="001F1324" w:rsidRPr="00BD005A" w:rsidRDefault="001F1324" w:rsidP="00F82B07">
      <w:pPr>
        <w:spacing w:line="240" w:lineRule="auto"/>
        <w:rPr>
          <w:sz w:val="20"/>
          <w:szCs w:val="20"/>
        </w:rPr>
      </w:pPr>
      <w:r w:rsidRPr="00BD005A">
        <w:rPr>
          <w:sz w:val="20"/>
          <w:szCs w:val="20"/>
        </w:rPr>
        <w:t xml:space="preserve">Teste </w:t>
      </w:r>
      <w:proofErr w:type="spellStart"/>
      <w:r w:rsidRPr="00BD005A">
        <w:rPr>
          <w:sz w:val="20"/>
          <w:szCs w:val="20"/>
        </w:rPr>
        <w:t>Arellano</w:t>
      </w:r>
      <w:proofErr w:type="spellEnd"/>
      <w:r w:rsidRPr="00BD005A">
        <w:rPr>
          <w:sz w:val="20"/>
          <w:szCs w:val="20"/>
        </w:rPr>
        <w:t>-Bond para AR (1) em primeira diferença: z =</w:t>
      </w:r>
      <w:proofErr w:type="gramStart"/>
      <w:r w:rsidRPr="00BD005A">
        <w:rPr>
          <w:sz w:val="20"/>
          <w:szCs w:val="20"/>
        </w:rPr>
        <w:t xml:space="preserve">  </w:t>
      </w:r>
      <w:proofErr w:type="gramEnd"/>
      <w:r w:rsidR="009C49B3" w:rsidRPr="00BD005A">
        <w:rPr>
          <w:sz w:val="20"/>
          <w:szCs w:val="20"/>
        </w:rPr>
        <w:t>-0,55</w:t>
      </w:r>
      <w:r w:rsidRPr="00BD005A">
        <w:rPr>
          <w:sz w:val="20"/>
          <w:szCs w:val="20"/>
        </w:rPr>
        <w:t>Pr &gt; z =  0</w:t>
      </w:r>
      <w:r w:rsidR="009C49B3" w:rsidRPr="00BD005A">
        <w:rPr>
          <w:sz w:val="20"/>
          <w:szCs w:val="20"/>
        </w:rPr>
        <w:t>584</w:t>
      </w:r>
    </w:p>
    <w:p w14:paraId="76A0A009" w14:textId="77777777" w:rsidR="001F1324" w:rsidRPr="00BD005A" w:rsidRDefault="001F1324" w:rsidP="00F82B07">
      <w:pPr>
        <w:spacing w:line="240" w:lineRule="auto"/>
        <w:rPr>
          <w:sz w:val="20"/>
          <w:szCs w:val="20"/>
        </w:rPr>
      </w:pPr>
      <w:r w:rsidRPr="00BD005A">
        <w:rPr>
          <w:sz w:val="20"/>
          <w:szCs w:val="20"/>
        </w:rPr>
        <w:t xml:space="preserve">Teste </w:t>
      </w:r>
      <w:proofErr w:type="spellStart"/>
      <w:r w:rsidRPr="00BD005A">
        <w:rPr>
          <w:sz w:val="20"/>
          <w:szCs w:val="20"/>
        </w:rPr>
        <w:t>Arellano</w:t>
      </w:r>
      <w:proofErr w:type="spellEnd"/>
      <w:r w:rsidRPr="00BD005A">
        <w:rPr>
          <w:sz w:val="20"/>
          <w:szCs w:val="20"/>
        </w:rPr>
        <w:t>-Bond para AR (2) em primeira diferença: z =</w:t>
      </w:r>
      <w:proofErr w:type="gramStart"/>
      <w:r w:rsidRPr="00BD005A">
        <w:rPr>
          <w:sz w:val="20"/>
          <w:szCs w:val="20"/>
        </w:rPr>
        <w:t xml:space="preserve">  </w:t>
      </w:r>
      <w:proofErr w:type="gramEnd"/>
      <w:r w:rsidRPr="00BD005A">
        <w:rPr>
          <w:sz w:val="20"/>
          <w:szCs w:val="20"/>
        </w:rPr>
        <w:t>-</w:t>
      </w:r>
      <w:r w:rsidR="009C49B3" w:rsidRPr="00BD005A">
        <w:rPr>
          <w:sz w:val="20"/>
          <w:szCs w:val="20"/>
        </w:rPr>
        <w:t>1,45</w:t>
      </w:r>
      <w:r w:rsidRPr="00BD005A">
        <w:rPr>
          <w:sz w:val="20"/>
          <w:szCs w:val="20"/>
        </w:rPr>
        <w:t xml:space="preserve">  </w:t>
      </w:r>
      <w:proofErr w:type="spellStart"/>
      <w:r w:rsidRPr="00BD005A">
        <w:rPr>
          <w:sz w:val="20"/>
          <w:szCs w:val="20"/>
        </w:rPr>
        <w:t>Pr</w:t>
      </w:r>
      <w:proofErr w:type="spellEnd"/>
      <w:r w:rsidRPr="00BD005A">
        <w:rPr>
          <w:sz w:val="20"/>
          <w:szCs w:val="20"/>
        </w:rPr>
        <w:t xml:space="preserve"> &gt; z =  0,505</w:t>
      </w:r>
    </w:p>
    <w:p w14:paraId="0B288251" w14:textId="77777777" w:rsidR="001F1324" w:rsidRPr="00BD005A" w:rsidRDefault="001F1324" w:rsidP="00F82B07">
      <w:pPr>
        <w:spacing w:line="240" w:lineRule="auto"/>
        <w:rPr>
          <w:sz w:val="20"/>
          <w:szCs w:val="20"/>
        </w:rPr>
      </w:pPr>
      <w:r w:rsidRPr="00BD005A">
        <w:rPr>
          <w:sz w:val="20"/>
          <w:szCs w:val="20"/>
        </w:rPr>
        <w:t xml:space="preserve">Teste de </w:t>
      </w:r>
      <w:proofErr w:type="spellStart"/>
      <w:r w:rsidRPr="00BD005A">
        <w:rPr>
          <w:sz w:val="20"/>
          <w:szCs w:val="20"/>
        </w:rPr>
        <w:t>sobre-identificação</w:t>
      </w:r>
      <w:proofErr w:type="spellEnd"/>
      <w:r w:rsidRPr="00BD005A">
        <w:rPr>
          <w:sz w:val="20"/>
          <w:szCs w:val="20"/>
        </w:rPr>
        <w:t xml:space="preserve"> de Hansen, Estatística J: qui</w:t>
      </w:r>
      <w:r w:rsidRPr="00BD005A">
        <w:rPr>
          <w:sz w:val="20"/>
          <w:szCs w:val="20"/>
          <w:vertAlign w:val="superscript"/>
        </w:rPr>
        <w:t xml:space="preserve">2 </w:t>
      </w:r>
      <w:r w:rsidR="009C49B3" w:rsidRPr="00BD005A">
        <w:rPr>
          <w:sz w:val="20"/>
          <w:szCs w:val="20"/>
        </w:rPr>
        <w:t>(16)</w:t>
      </w:r>
      <w:proofErr w:type="gramStart"/>
      <w:r w:rsidR="009C49B3" w:rsidRPr="00BD005A">
        <w:rPr>
          <w:sz w:val="20"/>
          <w:szCs w:val="20"/>
        </w:rPr>
        <w:t xml:space="preserve">  </w:t>
      </w:r>
      <w:proofErr w:type="gramEnd"/>
      <w:r w:rsidR="009C49B3" w:rsidRPr="00BD005A">
        <w:rPr>
          <w:sz w:val="20"/>
          <w:szCs w:val="20"/>
        </w:rPr>
        <w:t>= 4</w:t>
      </w:r>
      <w:r w:rsidRPr="00BD005A">
        <w:rPr>
          <w:sz w:val="20"/>
          <w:szCs w:val="20"/>
        </w:rPr>
        <w:t xml:space="preserve">,62  </w:t>
      </w:r>
      <w:proofErr w:type="spellStart"/>
      <w:r w:rsidRPr="00BD005A">
        <w:rPr>
          <w:sz w:val="20"/>
          <w:szCs w:val="20"/>
        </w:rPr>
        <w:t>Prob</w:t>
      </w:r>
      <w:proofErr w:type="spellEnd"/>
      <w:r w:rsidRPr="00BD005A">
        <w:rPr>
          <w:sz w:val="20"/>
          <w:szCs w:val="20"/>
        </w:rPr>
        <w:t xml:space="preserve"> &gt; qui</w:t>
      </w:r>
      <w:r w:rsidRPr="00BD005A">
        <w:rPr>
          <w:sz w:val="20"/>
          <w:szCs w:val="20"/>
          <w:vertAlign w:val="superscript"/>
        </w:rPr>
        <w:t>2</w:t>
      </w:r>
      <w:r w:rsidRPr="00BD005A">
        <w:rPr>
          <w:sz w:val="20"/>
          <w:szCs w:val="20"/>
        </w:rPr>
        <w:t xml:space="preserve"> = 0,</w:t>
      </w:r>
      <w:r w:rsidR="009C49B3" w:rsidRPr="00BD005A">
        <w:rPr>
          <w:sz w:val="20"/>
          <w:szCs w:val="20"/>
        </w:rPr>
        <w:t>915</w:t>
      </w:r>
    </w:p>
    <w:p w14:paraId="2C1C1972" w14:textId="77777777" w:rsidR="001F1324" w:rsidRPr="00BD005A" w:rsidRDefault="001F1324" w:rsidP="00F82B07">
      <w:pPr>
        <w:spacing w:line="240" w:lineRule="auto"/>
        <w:rPr>
          <w:sz w:val="20"/>
          <w:szCs w:val="20"/>
        </w:rPr>
      </w:pPr>
      <w:r w:rsidRPr="00BD005A">
        <w:rPr>
          <w:sz w:val="20"/>
          <w:szCs w:val="20"/>
        </w:rPr>
        <w:t>Diferenças nos testes Hansen para exogeneidade do grupo de instrumentos:</w:t>
      </w:r>
    </w:p>
    <w:p w14:paraId="4D08F0D9" w14:textId="77777777" w:rsidR="001F1324" w:rsidRPr="00BD005A" w:rsidRDefault="001F1324" w:rsidP="00F82B07">
      <w:pPr>
        <w:spacing w:line="240" w:lineRule="auto"/>
        <w:rPr>
          <w:sz w:val="20"/>
          <w:szCs w:val="20"/>
        </w:rPr>
      </w:pPr>
      <w:r w:rsidRPr="00BD005A">
        <w:rPr>
          <w:sz w:val="20"/>
          <w:szCs w:val="20"/>
        </w:rPr>
        <w:t>Instrumentos GMM em níveis:</w:t>
      </w:r>
    </w:p>
    <w:p w14:paraId="6B0C84C7" w14:textId="77777777" w:rsidR="001F1324" w:rsidRPr="00BD005A" w:rsidRDefault="001F1324" w:rsidP="00F82B07">
      <w:pPr>
        <w:spacing w:line="240" w:lineRule="auto"/>
        <w:rPr>
          <w:sz w:val="20"/>
          <w:szCs w:val="20"/>
        </w:rPr>
      </w:pPr>
      <w:r w:rsidRPr="00BD005A">
        <w:rPr>
          <w:sz w:val="20"/>
          <w:szCs w:val="20"/>
        </w:rPr>
        <w:t>Teste Hansen excluindo grupo:</w:t>
      </w:r>
      <w:proofErr w:type="gramStart"/>
      <w:r w:rsidRPr="00BD005A">
        <w:rPr>
          <w:sz w:val="20"/>
          <w:szCs w:val="20"/>
        </w:rPr>
        <w:t xml:space="preserve">  </w:t>
      </w:r>
      <w:proofErr w:type="gramEnd"/>
      <w:r w:rsidRPr="00BD005A">
        <w:rPr>
          <w:sz w:val="20"/>
          <w:szCs w:val="20"/>
        </w:rPr>
        <w:t>qui</w:t>
      </w:r>
      <w:r w:rsidRPr="00BD005A">
        <w:rPr>
          <w:sz w:val="20"/>
          <w:szCs w:val="20"/>
          <w:vertAlign w:val="superscript"/>
        </w:rPr>
        <w:t>2</w:t>
      </w:r>
      <w:r w:rsidRPr="00BD005A">
        <w:rPr>
          <w:sz w:val="20"/>
          <w:szCs w:val="20"/>
        </w:rPr>
        <w:t xml:space="preserve"> (</w:t>
      </w:r>
      <w:r w:rsidR="009C49B3" w:rsidRPr="00BD005A">
        <w:rPr>
          <w:sz w:val="20"/>
          <w:szCs w:val="20"/>
        </w:rPr>
        <w:t>10</w:t>
      </w:r>
      <w:r w:rsidR="00F56815" w:rsidRPr="00BD005A">
        <w:rPr>
          <w:sz w:val="20"/>
          <w:szCs w:val="20"/>
        </w:rPr>
        <w:t xml:space="preserve">)  =  </w:t>
      </w:r>
      <w:r w:rsidR="0061614B" w:rsidRPr="00BD005A">
        <w:rPr>
          <w:sz w:val="20"/>
          <w:szCs w:val="20"/>
        </w:rPr>
        <w:t xml:space="preserve"> 2,65</w:t>
      </w:r>
      <w:r w:rsidRPr="00BD005A">
        <w:rPr>
          <w:sz w:val="20"/>
          <w:szCs w:val="20"/>
        </w:rPr>
        <w:t xml:space="preserve">   </w:t>
      </w:r>
      <w:proofErr w:type="spellStart"/>
      <w:r w:rsidRPr="00BD005A">
        <w:rPr>
          <w:sz w:val="20"/>
          <w:szCs w:val="20"/>
        </w:rPr>
        <w:t>Prob</w:t>
      </w:r>
      <w:proofErr w:type="spellEnd"/>
      <w:r w:rsidRPr="00BD005A">
        <w:rPr>
          <w:sz w:val="20"/>
          <w:szCs w:val="20"/>
        </w:rPr>
        <w:t xml:space="preserve"> &gt; qui</w:t>
      </w:r>
      <w:r w:rsidRPr="00BD005A">
        <w:rPr>
          <w:sz w:val="20"/>
          <w:szCs w:val="20"/>
          <w:vertAlign w:val="superscript"/>
        </w:rPr>
        <w:t>2</w:t>
      </w:r>
      <w:r w:rsidRPr="00BD005A">
        <w:rPr>
          <w:sz w:val="20"/>
          <w:szCs w:val="20"/>
        </w:rPr>
        <w:t xml:space="preserve"> =  0,</w:t>
      </w:r>
      <w:r w:rsidR="0061614B" w:rsidRPr="00BD005A">
        <w:rPr>
          <w:sz w:val="20"/>
          <w:szCs w:val="20"/>
        </w:rPr>
        <w:t>754</w:t>
      </w:r>
    </w:p>
    <w:p w14:paraId="5A4EBF3A" w14:textId="77777777" w:rsidR="001F1324" w:rsidRPr="000A0093" w:rsidRDefault="001F1324" w:rsidP="00F82B07">
      <w:pPr>
        <w:spacing w:line="240" w:lineRule="auto"/>
        <w:rPr>
          <w:sz w:val="20"/>
          <w:szCs w:val="20"/>
        </w:rPr>
      </w:pPr>
      <w:r w:rsidRPr="00BD005A">
        <w:rPr>
          <w:sz w:val="20"/>
          <w:szCs w:val="20"/>
        </w:rPr>
        <w:t>Diferença (H</w:t>
      </w:r>
      <w:r w:rsidRPr="00BD005A">
        <w:rPr>
          <w:sz w:val="20"/>
          <w:szCs w:val="20"/>
          <w:vertAlign w:val="subscript"/>
        </w:rPr>
        <w:t>0</w:t>
      </w:r>
      <w:r w:rsidRPr="00BD005A">
        <w:rPr>
          <w:sz w:val="20"/>
          <w:szCs w:val="20"/>
        </w:rPr>
        <w:t xml:space="preserve"> = exógenos):         qui</w:t>
      </w:r>
      <w:r w:rsidRPr="00BD005A">
        <w:rPr>
          <w:sz w:val="20"/>
          <w:szCs w:val="20"/>
          <w:vertAlign w:val="superscript"/>
        </w:rPr>
        <w:t>2</w:t>
      </w:r>
      <w:r w:rsidRPr="00BD005A">
        <w:rPr>
          <w:sz w:val="20"/>
          <w:szCs w:val="20"/>
        </w:rPr>
        <w:t xml:space="preserve"> (8)</w:t>
      </w:r>
      <w:proofErr w:type="gramStart"/>
      <w:r w:rsidRPr="00BD005A">
        <w:rPr>
          <w:sz w:val="20"/>
          <w:szCs w:val="20"/>
        </w:rPr>
        <w:t xml:space="preserve">    </w:t>
      </w:r>
      <w:proofErr w:type="gramEnd"/>
      <w:r w:rsidRPr="00BD005A">
        <w:rPr>
          <w:sz w:val="20"/>
          <w:szCs w:val="20"/>
        </w:rPr>
        <w:t>=  1,</w:t>
      </w:r>
      <w:r w:rsidR="0061614B" w:rsidRPr="00BD005A">
        <w:rPr>
          <w:sz w:val="20"/>
          <w:szCs w:val="20"/>
        </w:rPr>
        <w:t>9</w:t>
      </w:r>
      <w:r w:rsidRPr="00BD005A">
        <w:rPr>
          <w:sz w:val="20"/>
          <w:szCs w:val="20"/>
        </w:rPr>
        <w:t xml:space="preserve">7  </w:t>
      </w:r>
      <w:r w:rsidR="0061614B" w:rsidRPr="00BD005A">
        <w:rPr>
          <w:sz w:val="20"/>
          <w:szCs w:val="20"/>
        </w:rPr>
        <w:t xml:space="preserve">  </w:t>
      </w:r>
      <w:proofErr w:type="spellStart"/>
      <w:r w:rsidRPr="00BD005A">
        <w:rPr>
          <w:sz w:val="20"/>
          <w:szCs w:val="20"/>
        </w:rPr>
        <w:t>Prob</w:t>
      </w:r>
      <w:proofErr w:type="spellEnd"/>
      <w:r w:rsidRPr="00BD005A">
        <w:rPr>
          <w:sz w:val="20"/>
          <w:szCs w:val="20"/>
        </w:rPr>
        <w:t xml:space="preserve"> &gt; qui</w:t>
      </w:r>
      <w:r w:rsidRPr="00BD005A">
        <w:rPr>
          <w:sz w:val="20"/>
          <w:szCs w:val="20"/>
          <w:vertAlign w:val="superscript"/>
        </w:rPr>
        <w:t>2</w:t>
      </w:r>
      <w:r w:rsidRPr="00BD005A">
        <w:rPr>
          <w:sz w:val="20"/>
          <w:szCs w:val="20"/>
        </w:rPr>
        <w:t xml:space="preserve"> =  0,</w:t>
      </w:r>
      <w:r w:rsidR="0061614B" w:rsidRPr="00BD005A">
        <w:rPr>
          <w:sz w:val="20"/>
          <w:szCs w:val="20"/>
        </w:rPr>
        <w:t>853</w:t>
      </w:r>
    </w:p>
    <w:p w14:paraId="1A0AF481" w14:textId="77777777" w:rsidR="001F1324" w:rsidRPr="000A0093" w:rsidRDefault="001F1324" w:rsidP="00F82B07">
      <w:pPr>
        <w:spacing w:line="240" w:lineRule="auto"/>
        <w:rPr>
          <w:sz w:val="20"/>
          <w:szCs w:val="20"/>
        </w:rPr>
      </w:pPr>
      <w:r w:rsidRPr="000A0093">
        <w:rPr>
          <w:sz w:val="20"/>
          <w:szCs w:val="20"/>
        </w:rPr>
        <w:t xml:space="preserve">Subgrupo das variáveis consideradas como estritamente exógenas: </w:t>
      </w:r>
      <w:proofErr w:type="spellStart"/>
      <w:r w:rsidRPr="000A0093">
        <w:rPr>
          <w:sz w:val="20"/>
          <w:szCs w:val="20"/>
        </w:rPr>
        <w:t>iv</w:t>
      </w:r>
      <w:proofErr w:type="spellEnd"/>
      <w:r w:rsidRPr="000A0093">
        <w:rPr>
          <w:sz w:val="20"/>
          <w:szCs w:val="20"/>
        </w:rPr>
        <w:t>(</w:t>
      </w:r>
      <w:proofErr w:type="spellStart"/>
      <w:r w:rsidRPr="000A0093">
        <w:rPr>
          <w:sz w:val="20"/>
          <w:szCs w:val="20"/>
        </w:rPr>
        <w:t>lnvix</w:t>
      </w:r>
      <w:proofErr w:type="spellEnd"/>
      <w:r w:rsidRPr="000A0093">
        <w:rPr>
          <w:sz w:val="20"/>
          <w:szCs w:val="20"/>
        </w:rPr>
        <w:t xml:space="preserve"> </w:t>
      </w:r>
      <w:proofErr w:type="spellStart"/>
      <w:r w:rsidRPr="000A0093">
        <w:rPr>
          <w:sz w:val="20"/>
          <w:szCs w:val="20"/>
        </w:rPr>
        <w:t>lndowjones</w:t>
      </w:r>
      <w:proofErr w:type="spellEnd"/>
      <w:r w:rsidRPr="000A0093">
        <w:rPr>
          <w:sz w:val="20"/>
          <w:szCs w:val="20"/>
        </w:rPr>
        <w:t xml:space="preserve"> </w:t>
      </w:r>
      <w:proofErr w:type="spellStart"/>
      <w:r w:rsidRPr="000A0093">
        <w:rPr>
          <w:sz w:val="20"/>
          <w:szCs w:val="20"/>
        </w:rPr>
        <w:t>pibmp</w:t>
      </w:r>
      <w:proofErr w:type="spellEnd"/>
      <w:r w:rsidRPr="000A0093">
        <w:rPr>
          <w:sz w:val="20"/>
          <w:szCs w:val="20"/>
        </w:rPr>
        <w:t xml:space="preserve"> </w:t>
      </w:r>
      <w:proofErr w:type="spellStart"/>
      <w:r w:rsidRPr="000A0093">
        <w:rPr>
          <w:sz w:val="20"/>
          <w:szCs w:val="20"/>
        </w:rPr>
        <w:t>ffr</w:t>
      </w:r>
      <w:proofErr w:type="spellEnd"/>
      <w:r w:rsidRPr="000A0093">
        <w:rPr>
          <w:sz w:val="20"/>
          <w:szCs w:val="20"/>
        </w:rPr>
        <w:t xml:space="preserve"> </w:t>
      </w:r>
      <w:proofErr w:type="spellStart"/>
      <w:r w:rsidRPr="000A0093">
        <w:rPr>
          <w:sz w:val="20"/>
          <w:szCs w:val="20"/>
        </w:rPr>
        <w:t>jgeua</w:t>
      </w:r>
      <w:proofErr w:type="spellEnd"/>
      <w:r w:rsidRPr="000A0093">
        <w:rPr>
          <w:sz w:val="20"/>
          <w:szCs w:val="20"/>
        </w:rPr>
        <w:t>)</w:t>
      </w:r>
    </w:p>
    <w:p w14:paraId="3152C9F0" w14:textId="77777777" w:rsidR="001F1324" w:rsidRPr="00CE3126" w:rsidRDefault="001F1324" w:rsidP="00F82B07">
      <w:pPr>
        <w:spacing w:line="240" w:lineRule="auto"/>
        <w:rPr>
          <w:sz w:val="20"/>
          <w:szCs w:val="20"/>
        </w:rPr>
      </w:pPr>
      <w:r w:rsidRPr="00CE3126">
        <w:rPr>
          <w:sz w:val="20"/>
          <w:szCs w:val="20"/>
        </w:rPr>
        <w:t>Teste Hansen excluindo grupo:</w:t>
      </w:r>
      <w:proofErr w:type="gramStart"/>
      <w:r w:rsidRPr="00CE3126">
        <w:rPr>
          <w:sz w:val="20"/>
          <w:szCs w:val="20"/>
        </w:rPr>
        <w:t xml:space="preserve">  </w:t>
      </w:r>
      <w:proofErr w:type="gramEnd"/>
      <w:r w:rsidRPr="00CE3126">
        <w:rPr>
          <w:sz w:val="20"/>
          <w:szCs w:val="20"/>
        </w:rPr>
        <w:t>qui</w:t>
      </w:r>
      <w:r w:rsidRPr="00CE3126">
        <w:rPr>
          <w:sz w:val="20"/>
          <w:szCs w:val="20"/>
          <w:vertAlign w:val="superscript"/>
        </w:rPr>
        <w:t>2</w:t>
      </w:r>
      <w:r w:rsidR="0061614B">
        <w:rPr>
          <w:sz w:val="20"/>
          <w:szCs w:val="20"/>
        </w:rPr>
        <w:t xml:space="preserve"> (10)   </w:t>
      </w:r>
      <w:bookmarkStart w:id="0" w:name="_GoBack"/>
      <w:bookmarkEnd w:id="0"/>
      <w:r w:rsidR="0061614B">
        <w:rPr>
          <w:sz w:val="20"/>
          <w:szCs w:val="20"/>
        </w:rPr>
        <w:t>=  2,88</w:t>
      </w:r>
      <w:r w:rsidRPr="00CE3126">
        <w:rPr>
          <w:sz w:val="20"/>
          <w:szCs w:val="20"/>
        </w:rPr>
        <w:t xml:space="preserve">  </w:t>
      </w:r>
      <w:proofErr w:type="spellStart"/>
      <w:r w:rsidRPr="00CE3126">
        <w:rPr>
          <w:sz w:val="20"/>
          <w:szCs w:val="20"/>
        </w:rPr>
        <w:t>Prob</w:t>
      </w:r>
      <w:proofErr w:type="spellEnd"/>
      <w:r w:rsidRPr="00CE3126">
        <w:rPr>
          <w:sz w:val="20"/>
          <w:szCs w:val="20"/>
        </w:rPr>
        <w:t xml:space="preserve"> &gt; qui</w:t>
      </w:r>
      <w:r w:rsidRPr="00CE3126">
        <w:rPr>
          <w:sz w:val="20"/>
          <w:szCs w:val="20"/>
          <w:vertAlign w:val="superscript"/>
        </w:rPr>
        <w:t>2</w:t>
      </w:r>
      <w:r w:rsidRPr="00CE3126">
        <w:rPr>
          <w:sz w:val="20"/>
          <w:szCs w:val="20"/>
        </w:rPr>
        <w:t xml:space="preserve"> =  0</w:t>
      </w:r>
      <w:r w:rsidR="0061614B">
        <w:rPr>
          <w:sz w:val="20"/>
          <w:szCs w:val="20"/>
        </w:rPr>
        <w:t>,</w:t>
      </w:r>
      <w:r w:rsidRPr="00CE3126">
        <w:rPr>
          <w:sz w:val="20"/>
          <w:szCs w:val="20"/>
        </w:rPr>
        <w:t>8</w:t>
      </w:r>
      <w:r w:rsidR="0061614B">
        <w:rPr>
          <w:sz w:val="20"/>
          <w:szCs w:val="20"/>
        </w:rPr>
        <w:t>24</w:t>
      </w:r>
    </w:p>
    <w:p w14:paraId="5019C431" w14:textId="77777777" w:rsidR="001F1324" w:rsidRPr="000A0093" w:rsidRDefault="001F1324" w:rsidP="00F82B07">
      <w:pPr>
        <w:spacing w:line="240" w:lineRule="auto"/>
        <w:rPr>
          <w:sz w:val="20"/>
          <w:szCs w:val="20"/>
        </w:rPr>
      </w:pPr>
      <w:r w:rsidRPr="00CE3126">
        <w:rPr>
          <w:sz w:val="20"/>
          <w:szCs w:val="20"/>
        </w:rPr>
        <w:t>Diferença (H</w:t>
      </w:r>
      <w:r w:rsidRPr="00CE3126">
        <w:rPr>
          <w:sz w:val="20"/>
          <w:szCs w:val="20"/>
          <w:vertAlign w:val="subscript"/>
        </w:rPr>
        <w:t>0</w:t>
      </w:r>
      <w:r w:rsidRPr="00CE3126">
        <w:rPr>
          <w:sz w:val="20"/>
          <w:szCs w:val="20"/>
        </w:rPr>
        <w:t xml:space="preserve"> = exógenos):         qui</w:t>
      </w:r>
      <w:r w:rsidRPr="00CE3126">
        <w:rPr>
          <w:sz w:val="20"/>
          <w:szCs w:val="20"/>
          <w:vertAlign w:val="superscript"/>
        </w:rPr>
        <w:t>2</w:t>
      </w:r>
      <w:r w:rsidRPr="00CE3126">
        <w:rPr>
          <w:sz w:val="20"/>
          <w:szCs w:val="20"/>
        </w:rPr>
        <w:t xml:space="preserve"> (5)</w:t>
      </w:r>
      <w:proofErr w:type="gramStart"/>
      <w:r w:rsidRPr="00CE3126">
        <w:rPr>
          <w:sz w:val="20"/>
          <w:szCs w:val="20"/>
        </w:rPr>
        <w:t xml:space="preserve">    </w:t>
      </w:r>
      <w:proofErr w:type="gramEnd"/>
      <w:r w:rsidRPr="00CE3126">
        <w:rPr>
          <w:sz w:val="20"/>
          <w:szCs w:val="20"/>
        </w:rPr>
        <w:t>=</w:t>
      </w:r>
      <w:r w:rsidR="0061614B">
        <w:rPr>
          <w:sz w:val="20"/>
          <w:szCs w:val="20"/>
        </w:rPr>
        <w:t xml:space="preserve">   1,75</w:t>
      </w:r>
      <w:r w:rsidRPr="00CE3126">
        <w:rPr>
          <w:sz w:val="20"/>
          <w:szCs w:val="20"/>
        </w:rPr>
        <w:t xml:space="preserve">   </w:t>
      </w:r>
      <w:proofErr w:type="spellStart"/>
      <w:r w:rsidRPr="00CE3126">
        <w:rPr>
          <w:sz w:val="20"/>
          <w:szCs w:val="20"/>
        </w:rPr>
        <w:t>Prob</w:t>
      </w:r>
      <w:proofErr w:type="spellEnd"/>
      <w:r w:rsidRPr="00CE3126">
        <w:rPr>
          <w:sz w:val="20"/>
          <w:szCs w:val="20"/>
        </w:rPr>
        <w:t xml:space="preserve"> &gt; qui</w:t>
      </w:r>
      <w:r w:rsidRPr="00CE3126">
        <w:rPr>
          <w:sz w:val="20"/>
          <w:szCs w:val="20"/>
          <w:vertAlign w:val="superscript"/>
        </w:rPr>
        <w:t xml:space="preserve">2 </w:t>
      </w:r>
      <w:r w:rsidR="0061614B">
        <w:rPr>
          <w:sz w:val="20"/>
          <w:szCs w:val="20"/>
        </w:rPr>
        <w:t xml:space="preserve"> =  0,782</w:t>
      </w:r>
    </w:p>
    <w:p w14:paraId="07887B00" w14:textId="77777777" w:rsidR="001F1324" w:rsidRPr="000A0093" w:rsidRDefault="001F1324" w:rsidP="00F82B07">
      <w:pPr>
        <w:spacing w:line="240" w:lineRule="auto"/>
        <w:rPr>
          <w:sz w:val="20"/>
          <w:szCs w:val="20"/>
        </w:rPr>
      </w:pPr>
      <w:r w:rsidRPr="000A0093">
        <w:rPr>
          <w:sz w:val="20"/>
          <w:szCs w:val="20"/>
        </w:rPr>
        <w:t xml:space="preserve">Fonte: elaboração própria a partir de resultados obtidos no </w:t>
      </w:r>
      <w:proofErr w:type="spellStart"/>
      <w:r w:rsidRPr="000A0093">
        <w:rPr>
          <w:sz w:val="20"/>
          <w:szCs w:val="20"/>
        </w:rPr>
        <w:t>Stata</w:t>
      </w:r>
      <w:proofErr w:type="spellEnd"/>
      <w:r w:rsidRPr="000A0093">
        <w:rPr>
          <w:sz w:val="20"/>
          <w:szCs w:val="20"/>
        </w:rPr>
        <w:t xml:space="preserve"> 12.</w:t>
      </w:r>
    </w:p>
    <w:p w14:paraId="19E35165" w14:textId="77777777" w:rsidR="00F82B07" w:rsidRDefault="00F82B07" w:rsidP="00FC2664">
      <w:pPr>
        <w:spacing w:line="480" w:lineRule="auto"/>
        <w:ind w:firstLine="851"/>
      </w:pPr>
    </w:p>
    <w:p w14:paraId="0FA2BAC2" w14:textId="77777777" w:rsidR="00345C34" w:rsidRDefault="00AB3378" w:rsidP="00FC2664">
      <w:pPr>
        <w:tabs>
          <w:tab w:val="left" w:pos="851"/>
        </w:tabs>
        <w:spacing w:line="480" w:lineRule="auto"/>
        <w:ind w:firstLine="709"/>
        <w:rPr>
          <w:bCs/>
        </w:rPr>
      </w:pPr>
      <w:r>
        <w:rPr>
          <w:bCs/>
        </w:rPr>
        <w:t xml:space="preserve">Analisando a tabela </w:t>
      </w:r>
      <w:r w:rsidR="004D5CAF">
        <w:rPr>
          <w:bCs/>
        </w:rPr>
        <w:t>1</w:t>
      </w:r>
      <w:r>
        <w:rPr>
          <w:bCs/>
        </w:rPr>
        <w:t xml:space="preserve">, observa-se que as quatro variáveis utilizadas como </w:t>
      </w:r>
      <w:proofErr w:type="spellStart"/>
      <w:r w:rsidRPr="00AB3378">
        <w:rPr>
          <w:bCs/>
          <w:i/>
        </w:rPr>
        <w:t>push-factors</w:t>
      </w:r>
      <w:proofErr w:type="spellEnd"/>
      <w:r w:rsidR="00995AF5">
        <w:rPr>
          <w:bCs/>
          <w:i/>
        </w:rPr>
        <w:t xml:space="preserve">, </w:t>
      </w:r>
      <w:proofErr w:type="spellStart"/>
      <w:r w:rsidR="00995AF5">
        <w:rPr>
          <w:bCs/>
          <w:i/>
        </w:rPr>
        <w:t>vix</w:t>
      </w:r>
      <w:proofErr w:type="spellEnd"/>
      <w:r w:rsidR="00995AF5">
        <w:rPr>
          <w:bCs/>
          <w:i/>
        </w:rPr>
        <w:t xml:space="preserve">, </w:t>
      </w:r>
      <w:proofErr w:type="spellStart"/>
      <w:r w:rsidR="00995AF5">
        <w:rPr>
          <w:bCs/>
          <w:i/>
        </w:rPr>
        <w:t>dowjones</w:t>
      </w:r>
      <w:proofErr w:type="spellEnd"/>
      <w:r w:rsidR="00995AF5">
        <w:rPr>
          <w:bCs/>
          <w:i/>
        </w:rPr>
        <w:t xml:space="preserve">, </w:t>
      </w:r>
      <w:proofErr w:type="spellStart"/>
      <w:r w:rsidR="00995AF5">
        <w:rPr>
          <w:bCs/>
          <w:i/>
        </w:rPr>
        <w:t>pibmp</w:t>
      </w:r>
      <w:proofErr w:type="spellEnd"/>
      <w:r w:rsidR="00995AF5">
        <w:rPr>
          <w:bCs/>
          <w:i/>
        </w:rPr>
        <w:t xml:space="preserve"> </w:t>
      </w:r>
      <w:r w:rsidR="00995AF5" w:rsidRPr="00995AF5">
        <w:rPr>
          <w:bCs/>
        </w:rPr>
        <w:t>e</w:t>
      </w:r>
      <w:r w:rsidR="00995AF5">
        <w:rPr>
          <w:bCs/>
          <w:i/>
        </w:rPr>
        <w:t xml:space="preserve"> </w:t>
      </w:r>
      <w:proofErr w:type="spellStart"/>
      <w:r w:rsidR="00995AF5">
        <w:rPr>
          <w:bCs/>
          <w:i/>
        </w:rPr>
        <w:t>ffr</w:t>
      </w:r>
      <w:proofErr w:type="spellEnd"/>
      <w:r w:rsidR="00995AF5">
        <w:rPr>
          <w:bCs/>
          <w:i/>
        </w:rPr>
        <w:t xml:space="preserve"> </w:t>
      </w:r>
      <w:r>
        <w:rPr>
          <w:bCs/>
        </w:rPr>
        <w:t xml:space="preserve">foram estatisticamente significativa a 5% e tiveram sinal como esperado. Em contrapartida, </w:t>
      </w:r>
      <w:r w:rsidR="00AC21A6">
        <w:rPr>
          <w:bCs/>
        </w:rPr>
        <w:t xml:space="preserve">das variáveis classificadas como </w:t>
      </w:r>
      <w:proofErr w:type="spellStart"/>
      <w:r w:rsidR="00AC21A6" w:rsidRPr="00AC21A6">
        <w:rPr>
          <w:bCs/>
          <w:i/>
        </w:rPr>
        <w:t>pull-factors</w:t>
      </w:r>
      <w:proofErr w:type="spellEnd"/>
      <w:r w:rsidR="00AC21A6">
        <w:rPr>
          <w:bCs/>
        </w:rPr>
        <w:t xml:space="preserve">, </w:t>
      </w:r>
      <w:r>
        <w:rPr>
          <w:bCs/>
        </w:rPr>
        <w:t xml:space="preserve">apenas o saldo em transações sobre o PIB, variável </w:t>
      </w:r>
      <w:proofErr w:type="spellStart"/>
      <w:r w:rsidRPr="00AB3378">
        <w:rPr>
          <w:bCs/>
          <w:i/>
        </w:rPr>
        <w:t>tc</w:t>
      </w:r>
      <w:proofErr w:type="spellEnd"/>
      <w:r>
        <w:rPr>
          <w:bCs/>
        </w:rPr>
        <w:t>, mostrou-se significativ</w:t>
      </w:r>
      <w:r w:rsidR="00AC21A6">
        <w:rPr>
          <w:bCs/>
        </w:rPr>
        <w:t>o</w:t>
      </w:r>
      <w:r>
        <w:rPr>
          <w:bCs/>
        </w:rPr>
        <w:t xml:space="preserve">, também a 5% e dentro do sinal esperado. </w:t>
      </w:r>
      <w:r w:rsidR="00E45A7E">
        <w:rPr>
          <w:bCs/>
        </w:rPr>
        <w:t>Nenhuma da</w:t>
      </w:r>
      <w:r>
        <w:rPr>
          <w:bCs/>
        </w:rPr>
        <w:t xml:space="preserve">s variáveis que indicariam o retorno para o investidor, </w:t>
      </w:r>
      <w:r w:rsidRPr="00AB3378">
        <w:rPr>
          <w:bCs/>
          <w:i/>
        </w:rPr>
        <w:t>juros</w:t>
      </w:r>
      <w:r>
        <w:rPr>
          <w:bCs/>
        </w:rPr>
        <w:t xml:space="preserve"> e </w:t>
      </w:r>
      <w:proofErr w:type="gramStart"/>
      <w:r w:rsidRPr="00AB3378">
        <w:rPr>
          <w:bCs/>
          <w:i/>
        </w:rPr>
        <w:t>cambio</w:t>
      </w:r>
      <w:r>
        <w:rPr>
          <w:bCs/>
        </w:rPr>
        <w:t>,</w:t>
      </w:r>
      <w:proofErr w:type="gramEnd"/>
      <w:r>
        <w:rPr>
          <w:bCs/>
        </w:rPr>
        <w:t xml:space="preserve"> se mostraram significativas. </w:t>
      </w:r>
      <w:r w:rsidR="00995AF5">
        <w:rPr>
          <w:bCs/>
        </w:rPr>
        <w:t xml:space="preserve">Esses resultados vão ao encontro de diversos trabalhos apresentados na segunda seção em que há uma predominância dos fatores externos sobre internos. </w:t>
      </w:r>
    </w:p>
    <w:p w14:paraId="2D60A198" w14:textId="70E355B4" w:rsidR="00484484" w:rsidRDefault="00995AF5" w:rsidP="00FC2664">
      <w:pPr>
        <w:tabs>
          <w:tab w:val="left" w:pos="851"/>
        </w:tabs>
        <w:spacing w:line="480" w:lineRule="auto"/>
        <w:ind w:firstLine="709"/>
        <w:rPr>
          <w:bCs/>
        </w:rPr>
      </w:pPr>
      <w:r>
        <w:rPr>
          <w:bCs/>
        </w:rPr>
        <w:t>Merece especial atenção a corroboração do Indicador de Volatilidade –</w:t>
      </w:r>
      <w:r w:rsidR="00BB0976">
        <w:rPr>
          <w:bCs/>
        </w:rPr>
        <w:t xml:space="preserve"> VIX;</w:t>
      </w:r>
      <w:r w:rsidR="005F696B">
        <w:rPr>
          <w:bCs/>
        </w:rPr>
        <w:t xml:space="preserve"> da significância estatística do rendimento dos países desenvolvidos, representado pelos EUA e não significância dos rendimentos domésticos</w:t>
      </w:r>
      <w:r w:rsidR="00BB0976">
        <w:rPr>
          <w:bCs/>
        </w:rPr>
        <w:t>;</w:t>
      </w:r>
      <w:r w:rsidR="005F696B">
        <w:rPr>
          <w:bCs/>
        </w:rPr>
        <w:t xml:space="preserve"> e</w:t>
      </w:r>
      <w:r w:rsidR="00BB0976">
        <w:rPr>
          <w:bCs/>
        </w:rPr>
        <w:t>,</w:t>
      </w:r>
      <w:r w:rsidR="005F696B">
        <w:rPr>
          <w:bCs/>
        </w:rPr>
        <w:t xml:space="preserve"> o fato do desempenho da economia mundial ter sido significativo enquanto o desempenho doméstico não o foi.</w:t>
      </w:r>
    </w:p>
    <w:p w14:paraId="6F2409C0" w14:textId="77777777" w:rsidR="00CB4044" w:rsidRDefault="00CB4044" w:rsidP="00FC2664">
      <w:pPr>
        <w:tabs>
          <w:tab w:val="left" w:pos="851"/>
        </w:tabs>
        <w:spacing w:line="480" w:lineRule="auto"/>
        <w:ind w:firstLine="709"/>
        <w:rPr>
          <w:bCs/>
        </w:rPr>
      </w:pPr>
    </w:p>
    <w:p w14:paraId="5496FA2B" w14:textId="35D4CA57" w:rsidR="00456DC4" w:rsidRDefault="00A52EDD" w:rsidP="00F82B07">
      <w:pPr>
        <w:pStyle w:val="Ttulo4"/>
        <w:spacing w:before="0" w:line="240" w:lineRule="auto"/>
        <w:rPr>
          <w:color w:val="auto"/>
        </w:rPr>
      </w:pPr>
      <w:r w:rsidRPr="000A0093">
        <w:rPr>
          <w:color w:val="auto"/>
        </w:rPr>
        <w:t>4</w:t>
      </w:r>
      <w:r w:rsidR="00456DC4" w:rsidRPr="000A0093">
        <w:rPr>
          <w:color w:val="auto"/>
        </w:rPr>
        <w:t>.</w:t>
      </w:r>
      <w:r w:rsidR="004032FE">
        <w:rPr>
          <w:color w:val="auto"/>
        </w:rPr>
        <w:t>1</w:t>
      </w:r>
      <w:r w:rsidR="00456DC4" w:rsidRPr="000A0093">
        <w:rPr>
          <w:color w:val="auto"/>
        </w:rPr>
        <w:t xml:space="preserve"> Resultados das regressões com associação das variáveis contínuas com a </w:t>
      </w:r>
      <w:proofErr w:type="spellStart"/>
      <w:r w:rsidR="00456DC4" w:rsidRPr="000A0093">
        <w:rPr>
          <w:color w:val="auto"/>
        </w:rPr>
        <w:t>dummy</w:t>
      </w:r>
      <w:proofErr w:type="spellEnd"/>
      <w:r w:rsidR="00456DC4" w:rsidRPr="000A0093">
        <w:rPr>
          <w:color w:val="auto"/>
        </w:rPr>
        <w:t xml:space="preserve"> para crise</w:t>
      </w:r>
    </w:p>
    <w:p w14:paraId="3F08215B" w14:textId="77777777" w:rsidR="00F82B07" w:rsidRPr="00F82B07" w:rsidRDefault="00F82B07" w:rsidP="00F82B07"/>
    <w:p w14:paraId="35F482D1" w14:textId="2B86511E" w:rsidR="00456DC4" w:rsidRPr="000A0093" w:rsidRDefault="00527770" w:rsidP="007B51B1">
      <w:pPr>
        <w:spacing w:line="480" w:lineRule="auto"/>
        <w:ind w:firstLine="851"/>
      </w:pPr>
      <w:r>
        <w:t>Conforme observado na seção anterior</w:t>
      </w:r>
      <w:r w:rsidR="00456DC4" w:rsidRPr="000A0093">
        <w:t xml:space="preserve">, </w:t>
      </w:r>
      <w:r w:rsidR="00B70DAE">
        <w:t>d</w:t>
      </w:r>
      <w:r w:rsidR="00456DC4" w:rsidRPr="000A0093">
        <w:t xml:space="preserve">as variáveis classificadas como </w:t>
      </w:r>
      <w:proofErr w:type="spellStart"/>
      <w:r w:rsidR="00456DC4" w:rsidRPr="000A0093">
        <w:rPr>
          <w:i/>
        </w:rPr>
        <w:t>pull</w:t>
      </w:r>
      <w:proofErr w:type="spellEnd"/>
      <w:r w:rsidR="00456DC4" w:rsidRPr="000A0093">
        <w:rPr>
          <w:i/>
        </w:rPr>
        <w:t xml:space="preserve"> </w:t>
      </w:r>
      <w:proofErr w:type="spellStart"/>
      <w:r w:rsidR="00456DC4" w:rsidRPr="000A0093">
        <w:rPr>
          <w:i/>
        </w:rPr>
        <w:t>factors</w:t>
      </w:r>
      <w:proofErr w:type="spellEnd"/>
      <w:r w:rsidR="00B70DAE">
        <w:rPr>
          <w:i/>
        </w:rPr>
        <w:t xml:space="preserve">, </w:t>
      </w:r>
      <w:r w:rsidR="00B70DAE" w:rsidRPr="00B70DAE">
        <w:t>apenas</w:t>
      </w:r>
      <w:r w:rsidR="00B70DAE">
        <w:rPr>
          <w:i/>
        </w:rPr>
        <w:t xml:space="preserve"> </w:t>
      </w:r>
      <w:r w:rsidR="00B70DAE">
        <w:t>a variável</w:t>
      </w:r>
      <w:r w:rsidR="00B70DAE">
        <w:rPr>
          <w:i/>
        </w:rPr>
        <w:t xml:space="preserve"> </w:t>
      </w:r>
      <w:proofErr w:type="spellStart"/>
      <w:r w:rsidR="00B70DAE" w:rsidRPr="00B70DAE">
        <w:rPr>
          <w:i/>
        </w:rPr>
        <w:t>tc</w:t>
      </w:r>
      <w:proofErr w:type="spellEnd"/>
      <w:r w:rsidR="00423845">
        <w:rPr>
          <w:i/>
        </w:rPr>
        <w:t xml:space="preserve"> </w:t>
      </w:r>
      <w:r w:rsidR="00423845">
        <w:t>se mostrou estatisticamente significativa</w:t>
      </w:r>
      <w:r w:rsidR="00456DC4" w:rsidRPr="000A0093">
        <w:t>.</w:t>
      </w:r>
      <w:r w:rsidR="002C03BB">
        <w:t xml:space="preserve"> </w:t>
      </w:r>
      <w:r w:rsidR="00456DC4" w:rsidRPr="000A0093">
        <w:t xml:space="preserve">Porém, embora elas não tenham apresentado significância estatística na atração dos fluxos financeiros internacionais para os países em desenvolvimento, elas podem influenciar no comportamento dos mesmos nos momentos de crise. </w:t>
      </w:r>
      <w:r w:rsidR="00077175">
        <w:t xml:space="preserve">Nesta subseção, especificamente, objetiva-se verificar se </w:t>
      </w:r>
      <w:proofErr w:type="gramStart"/>
      <w:r w:rsidR="00077175">
        <w:t xml:space="preserve">a variável </w:t>
      </w:r>
      <w:r w:rsidR="00077175" w:rsidRPr="00077175">
        <w:rPr>
          <w:i/>
        </w:rPr>
        <w:t>reservas</w:t>
      </w:r>
      <w:r w:rsidR="00077175">
        <w:t xml:space="preserve"> serve</w:t>
      </w:r>
      <w:proofErr w:type="gramEnd"/>
      <w:r w:rsidR="00077175">
        <w:t xml:space="preserve"> de atenuante para os fluxos líquidos de capital nos momentos de crise. </w:t>
      </w:r>
      <w:r w:rsidR="006072FA">
        <w:t xml:space="preserve">Essa </w:t>
      </w:r>
      <w:r w:rsidR="00630FD5">
        <w:t>averiguação</w:t>
      </w:r>
      <w:r w:rsidR="006072FA">
        <w:t xml:space="preserve"> seria importante para referendar</w:t>
      </w:r>
      <w:r w:rsidR="007B51B1">
        <w:t>, ou não,</w:t>
      </w:r>
      <w:r w:rsidR="006072FA">
        <w:t xml:space="preserve"> as estratégias defensivas de acúmulo de reservas feitas por diversos países emergentes </w:t>
      </w:r>
      <w:r w:rsidR="004B0B8A">
        <w:t xml:space="preserve">principalmente </w:t>
      </w:r>
      <w:r w:rsidR="006072FA">
        <w:t>durante a década de 2000</w:t>
      </w:r>
      <w:r w:rsidR="006072FA">
        <w:rPr>
          <w:rStyle w:val="Refdenotaderodap"/>
        </w:rPr>
        <w:footnoteReference w:id="19"/>
      </w:r>
      <w:r w:rsidR="006072FA">
        <w:t>.</w:t>
      </w:r>
      <w:r w:rsidR="007E6ACB">
        <w:t xml:space="preserve"> </w:t>
      </w:r>
      <w:r w:rsidR="007E6ACB" w:rsidRPr="000A0093">
        <w:t xml:space="preserve">Para verificar se isso ocorre foi incluída no modelo uma </w:t>
      </w:r>
      <w:proofErr w:type="spellStart"/>
      <w:r w:rsidR="007E6ACB" w:rsidRPr="000A0093">
        <w:rPr>
          <w:i/>
        </w:rPr>
        <w:t>dummy</w:t>
      </w:r>
      <w:proofErr w:type="spellEnd"/>
      <w:r w:rsidR="007E6ACB" w:rsidRPr="000A0093">
        <w:t xml:space="preserve"> para crises financeiras</w:t>
      </w:r>
      <w:r w:rsidR="007E6ACB">
        <w:t xml:space="preserve">, denominada como </w:t>
      </w:r>
      <w:r w:rsidR="007E6ACB" w:rsidRPr="00DC2755">
        <w:rPr>
          <w:i/>
        </w:rPr>
        <w:t>crise</w:t>
      </w:r>
      <w:r w:rsidR="007E6ACB">
        <w:t>,</w:t>
      </w:r>
      <w:r w:rsidR="007E6ACB" w:rsidRPr="000A0093">
        <w:t xml:space="preserve"> e se relacionará com as variáveis contínuas</w:t>
      </w:r>
      <w:r w:rsidR="007E6ACB">
        <w:t>.</w:t>
      </w:r>
    </w:p>
    <w:p w14:paraId="004B4ED7" w14:textId="6FE8AF06" w:rsidR="00456DC4" w:rsidRPr="000A0093" w:rsidRDefault="00456DC4" w:rsidP="00FC2664">
      <w:pPr>
        <w:spacing w:line="480" w:lineRule="auto"/>
        <w:ind w:firstLine="851"/>
      </w:pPr>
      <w:r w:rsidRPr="000A0093">
        <w:lastRenderedPageBreak/>
        <w:t xml:space="preserve">A </w:t>
      </w:r>
      <w:proofErr w:type="spellStart"/>
      <w:r w:rsidRPr="000A0093">
        <w:rPr>
          <w:i/>
        </w:rPr>
        <w:t>dummy</w:t>
      </w:r>
      <w:proofErr w:type="spellEnd"/>
      <w:r w:rsidRPr="000A0093">
        <w:t xml:space="preserve"> </w:t>
      </w:r>
      <w:r w:rsidRPr="000A0093">
        <w:rPr>
          <w:bCs/>
        </w:rPr>
        <w:t xml:space="preserve">abrange os seguintes anos: 1994, 1997, 1998, 1999, 2002 e 2008. A escolha se deu com base nos períodos de maior reversão nos fluxos de capitais, os quais foram decorrentes pelas crises dos países </w:t>
      </w:r>
      <w:r w:rsidR="00E1579C">
        <w:rPr>
          <w:bCs/>
        </w:rPr>
        <w:t>em desenvolvimento</w:t>
      </w:r>
      <w:r w:rsidR="00B95855">
        <w:rPr>
          <w:bCs/>
        </w:rPr>
        <w:t xml:space="preserve"> </w:t>
      </w:r>
      <w:r w:rsidRPr="000A0093">
        <w:rPr>
          <w:bCs/>
        </w:rPr>
        <w:t xml:space="preserve">e o último da crise financeira global. Essa </w:t>
      </w:r>
      <w:proofErr w:type="spellStart"/>
      <w:r w:rsidRPr="000A0093">
        <w:rPr>
          <w:bCs/>
          <w:i/>
        </w:rPr>
        <w:t>dummy</w:t>
      </w:r>
      <w:proofErr w:type="spellEnd"/>
      <w:r w:rsidRPr="000A0093">
        <w:rPr>
          <w:bCs/>
        </w:rPr>
        <w:t xml:space="preserve"> </w:t>
      </w:r>
      <w:r w:rsidRPr="000A0093">
        <w:t xml:space="preserve">não fora acrescentada no modelo anterior por não ter sido significativa. Além disso, houve uma piora nos desvios-padrão e nos coeficientes, tendo baixa alteração nas significâncias estatísticas das demais variáveis. Todavia, ela pode apresentar significância estatística se associada a outras variáveis, seguindo a mesma lógica das variáveis não significativas que podem passar a ser quando associadas com essa </w:t>
      </w:r>
      <w:proofErr w:type="spellStart"/>
      <w:r w:rsidRPr="000A0093">
        <w:rPr>
          <w:i/>
        </w:rPr>
        <w:t>dummy</w:t>
      </w:r>
      <w:proofErr w:type="spellEnd"/>
      <w:r w:rsidRPr="000A0093">
        <w:t>.</w:t>
      </w:r>
    </w:p>
    <w:p w14:paraId="641C4972" w14:textId="1AF65CD5" w:rsidR="00D61FE9" w:rsidRDefault="00456DC4" w:rsidP="00FC2664">
      <w:pPr>
        <w:spacing w:line="480" w:lineRule="auto"/>
        <w:ind w:firstLine="851"/>
      </w:pPr>
      <w:r w:rsidRPr="000A0093">
        <w:t xml:space="preserve">O método adotado para encontrar a relação entre as variáveis contínuas e a </w:t>
      </w:r>
      <w:proofErr w:type="spellStart"/>
      <w:r w:rsidRPr="000A0093">
        <w:rPr>
          <w:i/>
        </w:rPr>
        <w:t>dummy</w:t>
      </w:r>
      <w:proofErr w:type="spellEnd"/>
      <w:r w:rsidRPr="000A0093">
        <w:t xml:space="preserve"> para as crises se iniciou com</w:t>
      </w:r>
      <w:r w:rsidR="00B70DAE">
        <w:t xml:space="preserve"> </w:t>
      </w:r>
      <w:r w:rsidR="00DA7BD4">
        <w:t>a</w:t>
      </w:r>
      <w:r w:rsidRPr="000A0093">
        <w:t>s</w:t>
      </w:r>
      <w:r w:rsidR="00BA6DA2">
        <w:t xml:space="preserve"> duas</w:t>
      </w:r>
      <w:r w:rsidRPr="000A0093">
        <w:t xml:space="preserve"> </w:t>
      </w:r>
      <w:r w:rsidR="00DA7BD4">
        <w:t xml:space="preserve">variáveis </w:t>
      </w:r>
      <w:proofErr w:type="spellStart"/>
      <w:r w:rsidRPr="000A0093">
        <w:rPr>
          <w:i/>
        </w:rPr>
        <w:t>pull</w:t>
      </w:r>
      <w:proofErr w:type="spellEnd"/>
      <w:r w:rsidRPr="000A0093">
        <w:rPr>
          <w:i/>
        </w:rPr>
        <w:t xml:space="preserve"> </w:t>
      </w:r>
      <w:proofErr w:type="spellStart"/>
      <w:r w:rsidRPr="000A0093">
        <w:rPr>
          <w:i/>
        </w:rPr>
        <w:t>factors</w:t>
      </w:r>
      <w:proofErr w:type="spellEnd"/>
      <w:r w:rsidR="00B70DAE">
        <w:rPr>
          <w:i/>
        </w:rPr>
        <w:t xml:space="preserve"> </w:t>
      </w:r>
      <w:r w:rsidR="00B70DAE">
        <w:t>apresentados na tabela 1</w:t>
      </w:r>
      <w:r w:rsidR="00DA7BD4">
        <w:t xml:space="preserve"> que estão relacionadas com a vulnerabilidade </w:t>
      </w:r>
      <w:proofErr w:type="gramStart"/>
      <w:r w:rsidR="00DA7BD4">
        <w:t>interna/externa</w:t>
      </w:r>
      <w:proofErr w:type="gramEnd"/>
      <w:r w:rsidR="00DA7BD4">
        <w:t xml:space="preserve"> do país</w:t>
      </w:r>
      <w:r w:rsidR="00ED0779">
        <w:t xml:space="preserve">: </w:t>
      </w:r>
      <w:proofErr w:type="spellStart"/>
      <w:r w:rsidR="00ED0779" w:rsidRPr="00227161">
        <w:rPr>
          <w:i/>
        </w:rPr>
        <w:t>tc</w:t>
      </w:r>
      <w:proofErr w:type="spellEnd"/>
      <w:r w:rsidR="00BF6598">
        <w:t xml:space="preserve"> e </w:t>
      </w:r>
      <w:r w:rsidR="00ED0779" w:rsidRPr="00227161">
        <w:rPr>
          <w:i/>
        </w:rPr>
        <w:t>reservas</w:t>
      </w:r>
      <w:r w:rsidRPr="000A0093">
        <w:rPr>
          <w:i/>
        </w:rPr>
        <w:t xml:space="preserve">. </w:t>
      </w:r>
      <w:r w:rsidR="00227161">
        <w:t xml:space="preserve">A relação </w:t>
      </w:r>
      <w:r w:rsidR="003F059A">
        <w:t xml:space="preserve">da </w:t>
      </w:r>
      <w:proofErr w:type="spellStart"/>
      <w:r w:rsidR="003F059A" w:rsidRPr="003F059A">
        <w:rPr>
          <w:i/>
        </w:rPr>
        <w:t>dummy</w:t>
      </w:r>
      <w:proofErr w:type="spellEnd"/>
      <w:r w:rsidR="003F059A">
        <w:t xml:space="preserve"> com variável contínua não é possível de ser realizada pelo método GMM. </w:t>
      </w:r>
      <w:r w:rsidR="00D028D7">
        <w:t>Optou-se então</w:t>
      </w:r>
      <w:r w:rsidR="005643FA">
        <w:t>,</w:t>
      </w:r>
      <w:r w:rsidR="00D028D7">
        <w:t xml:space="preserve"> pelos modelos de efeitos fixos</w:t>
      </w:r>
      <w:r w:rsidR="005643FA">
        <w:t xml:space="preserve"> (FE)</w:t>
      </w:r>
      <w:r w:rsidR="00D028D7">
        <w:t xml:space="preserve"> e aleat</w:t>
      </w:r>
      <w:r w:rsidR="005643FA">
        <w:t>órios (RE) robustos à hetero</w:t>
      </w:r>
      <w:r w:rsidR="00477961">
        <w:t>cedasticidade e autocorrelação</w:t>
      </w:r>
      <w:r w:rsidR="00B76487">
        <w:t>, cujas equações são</w:t>
      </w:r>
      <w:r w:rsidR="00F3407E">
        <w:t xml:space="preserve"> respectivamente</w:t>
      </w:r>
      <w:r w:rsidR="00B76487">
        <w:t>:</w:t>
      </w:r>
    </w:p>
    <w:p w14:paraId="2C3A9539" w14:textId="32431B5D" w:rsidR="00781925" w:rsidRPr="00781925" w:rsidRDefault="00781925" w:rsidP="00F82B07">
      <w:pPr>
        <w:tabs>
          <w:tab w:val="left" w:pos="851"/>
        </w:tabs>
        <w:spacing w:line="240" w:lineRule="auto"/>
        <w:ind w:left="357"/>
        <w:rPr>
          <w:bCs/>
          <w:vertAlign w:val="subscript"/>
        </w:rPr>
      </w:pPr>
      <w:r w:rsidRPr="00781925">
        <w:rPr>
          <w:bCs/>
        </w:rPr>
        <w:t>(</w:t>
      </w:r>
      <w:r w:rsidR="008B6868">
        <w:rPr>
          <w:bCs/>
        </w:rPr>
        <w:t>3</w:t>
      </w:r>
      <w:r>
        <w:rPr>
          <w:bCs/>
        </w:rPr>
        <w:t xml:space="preserve">) </w:t>
      </w:r>
      <w:proofErr w:type="spellStart"/>
      <w:r w:rsidRPr="00781925">
        <w:rPr>
          <w:bCs/>
        </w:rPr>
        <w:t>fdek</w:t>
      </w:r>
      <w:r w:rsidRPr="00781925">
        <w:rPr>
          <w:bCs/>
          <w:vertAlign w:val="subscript"/>
        </w:rPr>
        <w:t>it</w:t>
      </w:r>
      <w:proofErr w:type="spellEnd"/>
      <w:r w:rsidRPr="00781925">
        <w:rPr>
          <w:bCs/>
        </w:rPr>
        <w:t xml:space="preserve">= </w:t>
      </w:r>
      <w:r w:rsidRPr="00781925">
        <w:rPr>
          <w:bCs/>
          <w:i/>
        </w:rPr>
        <w:t>β</w:t>
      </w:r>
      <w:r w:rsidRPr="00781925">
        <w:rPr>
          <w:bCs/>
          <w:i/>
          <w:vertAlign w:val="subscript"/>
        </w:rPr>
        <w:t>0</w:t>
      </w:r>
      <w:r w:rsidRPr="00781925">
        <w:rPr>
          <w:bCs/>
        </w:rPr>
        <w:t xml:space="preserve"> + </w:t>
      </w:r>
      <w:r w:rsidRPr="00781925">
        <w:rPr>
          <w:bCs/>
          <w:i/>
        </w:rPr>
        <w:t>β</w:t>
      </w:r>
      <w:r w:rsidRPr="00781925">
        <w:rPr>
          <w:bCs/>
          <w:vertAlign w:val="subscript"/>
        </w:rPr>
        <w:t>1</w:t>
      </w:r>
      <w:r w:rsidRPr="00781925">
        <w:rPr>
          <w:bCs/>
        </w:rPr>
        <w:t>vix</w:t>
      </w:r>
      <w:r w:rsidRPr="00781925">
        <w:rPr>
          <w:bCs/>
          <w:vertAlign w:val="subscript"/>
        </w:rPr>
        <w:t>t</w:t>
      </w:r>
      <w:r w:rsidRPr="00781925">
        <w:rPr>
          <w:bCs/>
        </w:rPr>
        <w:t xml:space="preserve"> +</w:t>
      </w:r>
      <w:r w:rsidRPr="00781925">
        <w:rPr>
          <w:bCs/>
          <w:i/>
        </w:rPr>
        <w:t xml:space="preserve"> </w:t>
      </w:r>
      <w:r w:rsidRPr="00A2455E">
        <w:rPr>
          <w:bCs/>
          <w:i/>
        </w:rPr>
        <w:t>β</w:t>
      </w:r>
      <w:r w:rsidRPr="00A2455E">
        <w:rPr>
          <w:bCs/>
          <w:vertAlign w:val="subscript"/>
        </w:rPr>
        <w:t>2</w:t>
      </w:r>
      <w:r w:rsidRPr="00A2455E">
        <w:rPr>
          <w:bCs/>
        </w:rPr>
        <w:t>dowjones</w:t>
      </w:r>
      <w:r w:rsidRPr="00A2455E">
        <w:rPr>
          <w:bCs/>
          <w:vertAlign w:val="subscript"/>
        </w:rPr>
        <w:t>t</w:t>
      </w:r>
      <w:r w:rsidRPr="00A2455E">
        <w:rPr>
          <w:bCs/>
        </w:rPr>
        <w:t xml:space="preserve"> </w:t>
      </w:r>
      <w:r w:rsidRPr="00781925">
        <w:rPr>
          <w:bCs/>
        </w:rPr>
        <w:t xml:space="preserve">+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w:t>
      </w:r>
      <w:r w:rsidRPr="00781925">
        <w:rPr>
          <w:bCs/>
        </w:rPr>
        <w:t xml:space="preserve">+ </w:t>
      </w:r>
      <w:r w:rsidRPr="00781925">
        <w:rPr>
          <w:bCs/>
          <w:i/>
        </w:rPr>
        <w:t>β</w:t>
      </w:r>
      <w:r>
        <w:rPr>
          <w:bCs/>
          <w:vertAlign w:val="subscript"/>
        </w:rPr>
        <w:t>5</w:t>
      </w:r>
      <w:r w:rsidRPr="00781925">
        <w:rPr>
          <w:bCs/>
        </w:rPr>
        <w:t>jurosd</w:t>
      </w:r>
      <w:r w:rsidRPr="00781925">
        <w:rPr>
          <w:bCs/>
          <w:vertAlign w:val="subscript"/>
        </w:rPr>
        <w:t>it</w:t>
      </w:r>
      <w:r w:rsidRPr="00781925">
        <w:rPr>
          <w:bCs/>
        </w:rPr>
        <w:t xml:space="preserve"> + </w:t>
      </w:r>
      <w:r w:rsidRPr="00781925">
        <w:rPr>
          <w:bCs/>
          <w:i/>
        </w:rPr>
        <w:t>β</w:t>
      </w:r>
      <w:r>
        <w:rPr>
          <w:bCs/>
          <w:vertAlign w:val="subscript"/>
        </w:rPr>
        <w:t>6</w:t>
      </w:r>
      <w:r w:rsidRPr="00781925">
        <w:rPr>
          <w:bCs/>
        </w:rPr>
        <w:t>cambio</w:t>
      </w:r>
      <w:r>
        <w:rPr>
          <w:bCs/>
          <w:vertAlign w:val="subscript"/>
        </w:rPr>
        <w:t>it</w:t>
      </w:r>
      <w:r w:rsidRPr="00781925">
        <w:rPr>
          <w:bCs/>
          <w:vertAlign w:val="subscript"/>
        </w:rPr>
        <w:t xml:space="preserve"> </w:t>
      </w:r>
      <w:r w:rsidRPr="00781925">
        <w:rPr>
          <w:bCs/>
        </w:rPr>
        <w:t xml:space="preserve">+ </w:t>
      </w:r>
      <w:r w:rsidRPr="00781925">
        <w:rPr>
          <w:bCs/>
          <w:i/>
        </w:rPr>
        <w:t>β</w:t>
      </w:r>
      <w:r w:rsidR="00A34883">
        <w:rPr>
          <w:bCs/>
          <w:vertAlign w:val="subscript"/>
        </w:rPr>
        <w:t>7</w:t>
      </w:r>
      <w:r w:rsidRPr="00781925">
        <w:rPr>
          <w:bCs/>
        </w:rPr>
        <w:t>pib2005</w:t>
      </w:r>
      <w:r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w:t>
      </w:r>
      <w:r w:rsidR="00A34883">
        <w:rPr>
          <w:bCs/>
        </w:rPr>
        <w:t>+</w:t>
      </w:r>
      <m:oMath>
        <m:r>
          <w:rPr>
            <w:rFonts w:ascii="Cambria Math" w:hAnsi="Cambria Math"/>
          </w:rPr>
          <m:t xml:space="preserve"> </m:t>
        </m:r>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rPr>
        <w:t xml:space="preserve"> + </w:t>
      </w:r>
      <w:r w:rsidRPr="00781925">
        <w:rPr>
          <w:bCs/>
          <w:i/>
          <w:iCs/>
        </w:rPr>
        <w:t>c</w:t>
      </w:r>
      <w:r w:rsidRPr="00781925">
        <w:rPr>
          <w:bCs/>
          <w:iCs/>
          <w:vertAlign w:val="subscript"/>
        </w:rPr>
        <w:t>2</w:t>
      </w:r>
      <w:r w:rsidRPr="00781925">
        <w:rPr>
          <w:bCs/>
          <w:iCs/>
        </w:rPr>
        <w:t>I</w:t>
      </w:r>
      <w:r w:rsidRPr="00781925">
        <w:rPr>
          <w:bCs/>
          <w:iCs/>
          <w:vertAlign w:val="subscript"/>
        </w:rPr>
        <w:t>2i</w:t>
      </w:r>
      <w:r w:rsidRPr="00781925">
        <w:rPr>
          <w:bCs/>
          <w:iCs/>
        </w:rPr>
        <w:t xml:space="preserve"> </w:t>
      </w:r>
      <w:r w:rsidRPr="00781925">
        <w:rPr>
          <w:bCs/>
          <w:i/>
          <w:iCs/>
        </w:rPr>
        <w:t>+</w:t>
      </w:r>
      <w:proofErr w:type="gramStart"/>
      <w:r w:rsidRPr="00781925">
        <w:rPr>
          <w:bCs/>
          <w:i/>
          <w:iCs/>
        </w:rPr>
        <w:t xml:space="preserve"> ...</w:t>
      </w:r>
      <w:proofErr w:type="gramEnd"/>
      <w:r w:rsidRPr="00781925">
        <w:rPr>
          <w:bCs/>
          <w:i/>
          <w:iCs/>
        </w:rPr>
        <w:t xml:space="preserve"> + </w:t>
      </w:r>
      <w:proofErr w:type="spellStart"/>
      <w:proofErr w:type="gramStart"/>
      <w:r w:rsidRPr="00781925">
        <w:rPr>
          <w:bCs/>
          <w:i/>
          <w:iCs/>
        </w:rPr>
        <w:t>c</w:t>
      </w:r>
      <w:r w:rsidRPr="00781925">
        <w:rPr>
          <w:bCs/>
          <w:iCs/>
          <w:vertAlign w:val="subscript"/>
        </w:rPr>
        <w:t>n</w:t>
      </w:r>
      <w:r w:rsidRPr="00781925">
        <w:rPr>
          <w:bCs/>
          <w:iCs/>
        </w:rPr>
        <w:t>I</w:t>
      </w:r>
      <w:r w:rsidRPr="00781925">
        <w:rPr>
          <w:bCs/>
          <w:iCs/>
          <w:vertAlign w:val="subscript"/>
        </w:rPr>
        <w:t>ni</w:t>
      </w:r>
      <w:proofErr w:type="spellEnd"/>
      <w:proofErr w:type="gramEnd"/>
      <w:r w:rsidRPr="00781925">
        <w:rPr>
          <w:bCs/>
          <w:iCs/>
          <w:vertAlign w:val="subscript"/>
        </w:rPr>
        <w:t xml:space="preserve"> </w:t>
      </w:r>
      <w:r w:rsidRPr="00781925">
        <w:rPr>
          <w:bCs/>
          <w:iCs/>
        </w:rPr>
        <w:t>+</w:t>
      </w:r>
      <w:r w:rsidRPr="00781925">
        <w:rPr>
          <w:bCs/>
        </w:rPr>
        <w:t xml:space="preserve"> </w:t>
      </w:r>
      <w:proofErr w:type="spellStart"/>
      <w:r w:rsidRPr="00781925">
        <w:rPr>
          <w:bCs/>
          <w:i/>
        </w:rPr>
        <w:t>e</w:t>
      </w:r>
      <w:r w:rsidRPr="00781925">
        <w:rPr>
          <w:bCs/>
          <w:i/>
          <w:vertAlign w:val="subscript"/>
        </w:rPr>
        <w:t>it</w:t>
      </w:r>
      <w:proofErr w:type="spellEnd"/>
    </w:p>
    <w:p w14:paraId="5E7B88C4" w14:textId="77777777" w:rsidR="00781925" w:rsidRPr="00781925" w:rsidRDefault="00781925" w:rsidP="00F82B07">
      <w:pPr>
        <w:tabs>
          <w:tab w:val="left" w:pos="851"/>
        </w:tabs>
        <w:spacing w:line="240" w:lineRule="auto"/>
        <w:ind w:left="357"/>
        <w:rPr>
          <w:bCs/>
        </w:rPr>
      </w:pPr>
    </w:p>
    <w:p w14:paraId="443AB7F8" w14:textId="5BCDC903" w:rsidR="00781925" w:rsidRDefault="00781925" w:rsidP="00F82B07">
      <w:pPr>
        <w:tabs>
          <w:tab w:val="left" w:pos="851"/>
        </w:tabs>
        <w:spacing w:line="240" w:lineRule="auto"/>
        <w:ind w:left="357"/>
        <w:rPr>
          <w:bCs/>
          <w:i/>
          <w:vertAlign w:val="subscript"/>
        </w:rPr>
      </w:pPr>
      <w:r w:rsidRPr="00781925">
        <w:rPr>
          <w:bCs/>
        </w:rPr>
        <w:t>(</w:t>
      </w:r>
      <w:r w:rsidR="008B6868">
        <w:rPr>
          <w:bCs/>
        </w:rPr>
        <w:t>4</w:t>
      </w:r>
      <w:r w:rsidRPr="00781925">
        <w:rPr>
          <w:bCs/>
        </w:rPr>
        <w:t xml:space="preserve">) </w:t>
      </w:r>
      <w:proofErr w:type="spellStart"/>
      <w:r w:rsidR="00A34883" w:rsidRPr="00781925">
        <w:rPr>
          <w:bCs/>
        </w:rPr>
        <w:t>fdek</w:t>
      </w:r>
      <w:r w:rsidR="00A34883" w:rsidRPr="00781925">
        <w:rPr>
          <w:bCs/>
          <w:vertAlign w:val="subscript"/>
        </w:rPr>
        <w:t>it</w:t>
      </w:r>
      <w:proofErr w:type="spellEnd"/>
      <w:r w:rsidR="00A34883" w:rsidRPr="00781925">
        <w:rPr>
          <w:bCs/>
        </w:rPr>
        <w:t xml:space="preserve">= </w:t>
      </w:r>
      <w:r w:rsidR="00A34883" w:rsidRPr="00781925">
        <w:rPr>
          <w:bCs/>
          <w:i/>
        </w:rPr>
        <w:t>β</w:t>
      </w:r>
      <w:r w:rsidR="00A34883" w:rsidRPr="00781925">
        <w:rPr>
          <w:bCs/>
          <w:i/>
          <w:vertAlign w:val="subscript"/>
        </w:rPr>
        <w:t>0</w:t>
      </w:r>
      <w:r w:rsidR="00A34883" w:rsidRPr="00781925">
        <w:rPr>
          <w:bCs/>
        </w:rPr>
        <w:t xml:space="preserve"> + </w:t>
      </w:r>
      <w:r w:rsidR="00A34883" w:rsidRPr="00781925">
        <w:rPr>
          <w:bCs/>
          <w:i/>
        </w:rPr>
        <w:t>β</w:t>
      </w:r>
      <w:r w:rsidR="00A34883" w:rsidRPr="00781925">
        <w:rPr>
          <w:bCs/>
          <w:vertAlign w:val="subscript"/>
        </w:rPr>
        <w:t>1</w:t>
      </w:r>
      <w:r w:rsidR="00A34883" w:rsidRPr="00781925">
        <w:rPr>
          <w:bCs/>
        </w:rPr>
        <w:t>vix</w:t>
      </w:r>
      <w:r w:rsidR="00A34883" w:rsidRPr="00781925">
        <w:rPr>
          <w:bCs/>
          <w:vertAlign w:val="subscript"/>
        </w:rPr>
        <w:t>t</w:t>
      </w:r>
      <w:r w:rsidR="00A34883" w:rsidRPr="00781925">
        <w:rPr>
          <w:bCs/>
        </w:rPr>
        <w:t xml:space="preserve"> +</w:t>
      </w:r>
      <w:r w:rsidR="00A34883" w:rsidRPr="00781925">
        <w:rPr>
          <w:bCs/>
          <w:i/>
        </w:rPr>
        <w:t xml:space="preserve"> </w:t>
      </w:r>
      <w:r w:rsidR="00A34883" w:rsidRPr="00A2455E">
        <w:rPr>
          <w:bCs/>
          <w:i/>
        </w:rPr>
        <w:t>β</w:t>
      </w:r>
      <w:r w:rsidR="00A34883" w:rsidRPr="00A2455E">
        <w:rPr>
          <w:bCs/>
          <w:vertAlign w:val="subscript"/>
        </w:rPr>
        <w:t>2</w:t>
      </w:r>
      <w:r w:rsidR="00A34883" w:rsidRPr="00A2455E">
        <w:rPr>
          <w:bCs/>
        </w:rPr>
        <w:t>dowjones</w:t>
      </w:r>
      <w:r w:rsidR="00A34883" w:rsidRPr="00A2455E">
        <w:rPr>
          <w:bCs/>
          <w:vertAlign w:val="subscript"/>
        </w:rPr>
        <w:t>t</w:t>
      </w:r>
      <w:r w:rsidR="00A34883" w:rsidRPr="00A2455E">
        <w:rPr>
          <w:bCs/>
        </w:rPr>
        <w:t xml:space="preserve"> </w:t>
      </w:r>
      <w:r w:rsidR="00A34883" w:rsidRPr="00781925">
        <w:rPr>
          <w:bCs/>
        </w:rPr>
        <w:t xml:space="preserve">+ </w:t>
      </w:r>
      <w:r w:rsidR="00A34883" w:rsidRPr="00A2455E">
        <w:rPr>
          <w:bCs/>
          <w:i/>
        </w:rPr>
        <w:t>β</w:t>
      </w:r>
      <w:r w:rsidR="00A34883" w:rsidRPr="00A2455E">
        <w:rPr>
          <w:bCs/>
          <w:vertAlign w:val="subscript"/>
        </w:rPr>
        <w:t>3</w:t>
      </w:r>
      <w:r w:rsidR="00A34883" w:rsidRPr="00A2455E">
        <w:rPr>
          <w:bCs/>
        </w:rPr>
        <w:t>pibmp</w:t>
      </w:r>
      <w:r w:rsidR="00A34883" w:rsidRPr="00A2455E">
        <w:rPr>
          <w:bCs/>
          <w:vertAlign w:val="subscript"/>
        </w:rPr>
        <w:t>t</w:t>
      </w:r>
      <w:r w:rsidR="00A34883" w:rsidRPr="00A2455E">
        <w:rPr>
          <w:bCs/>
        </w:rPr>
        <w:t xml:space="preserve"> + </w:t>
      </w:r>
      <w:r w:rsidR="00A34883" w:rsidRPr="00A2455E">
        <w:rPr>
          <w:bCs/>
          <w:i/>
        </w:rPr>
        <w:t>β</w:t>
      </w:r>
      <w:r w:rsidR="00A34883" w:rsidRPr="00A2455E">
        <w:rPr>
          <w:bCs/>
          <w:vertAlign w:val="subscript"/>
        </w:rPr>
        <w:t>4</w:t>
      </w:r>
      <w:r w:rsidR="00A34883" w:rsidRPr="00A2455E">
        <w:rPr>
          <w:bCs/>
        </w:rPr>
        <w:t>ffr</w:t>
      </w:r>
      <w:r w:rsidR="00A34883" w:rsidRPr="00A2455E">
        <w:rPr>
          <w:bCs/>
          <w:vertAlign w:val="subscript"/>
        </w:rPr>
        <w:t>t</w:t>
      </w:r>
      <w:r w:rsidR="00A34883" w:rsidRPr="00A2455E">
        <w:rPr>
          <w:bCs/>
        </w:rPr>
        <w:t xml:space="preserve"> </w:t>
      </w:r>
      <w:r w:rsidR="00A34883" w:rsidRPr="00781925">
        <w:rPr>
          <w:bCs/>
        </w:rPr>
        <w:t xml:space="preserve">+ </w:t>
      </w:r>
      <w:r w:rsidR="00A34883" w:rsidRPr="00781925">
        <w:rPr>
          <w:bCs/>
          <w:i/>
        </w:rPr>
        <w:t>β</w:t>
      </w:r>
      <w:r w:rsidR="00A34883">
        <w:rPr>
          <w:bCs/>
          <w:vertAlign w:val="subscript"/>
        </w:rPr>
        <w:t>5</w:t>
      </w:r>
      <w:r w:rsidR="00A34883" w:rsidRPr="00781925">
        <w:rPr>
          <w:bCs/>
        </w:rPr>
        <w:t>jurosd</w:t>
      </w:r>
      <w:r w:rsidR="00A34883" w:rsidRPr="00781925">
        <w:rPr>
          <w:bCs/>
          <w:vertAlign w:val="subscript"/>
        </w:rPr>
        <w:t>it</w:t>
      </w:r>
      <w:r w:rsidR="00A34883" w:rsidRPr="00781925">
        <w:rPr>
          <w:bCs/>
        </w:rPr>
        <w:t xml:space="preserve"> + </w:t>
      </w:r>
      <w:r w:rsidR="00A34883" w:rsidRPr="00781925">
        <w:rPr>
          <w:bCs/>
          <w:i/>
        </w:rPr>
        <w:t>β</w:t>
      </w:r>
      <w:r w:rsidR="00A34883">
        <w:rPr>
          <w:bCs/>
          <w:vertAlign w:val="subscript"/>
        </w:rPr>
        <w:t>6</w:t>
      </w:r>
      <w:r w:rsidR="00A34883" w:rsidRPr="00781925">
        <w:rPr>
          <w:bCs/>
        </w:rPr>
        <w:t>cambio</w:t>
      </w:r>
      <w:r w:rsidR="00A34883">
        <w:rPr>
          <w:bCs/>
          <w:vertAlign w:val="subscript"/>
        </w:rPr>
        <w:t>it</w:t>
      </w:r>
      <w:r w:rsidR="00A34883" w:rsidRPr="00781925">
        <w:rPr>
          <w:bCs/>
          <w:vertAlign w:val="subscript"/>
        </w:rPr>
        <w:t xml:space="preserve"> </w:t>
      </w:r>
      <w:r w:rsidR="00A34883" w:rsidRPr="00781925">
        <w:rPr>
          <w:bCs/>
        </w:rPr>
        <w:t xml:space="preserve">+ </w:t>
      </w:r>
      <w:r w:rsidR="00A34883" w:rsidRPr="00781925">
        <w:rPr>
          <w:bCs/>
          <w:i/>
        </w:rPr>
        <w:t>β</w:t>
      </w:r>
      <w:r w:rsidR="00A34883">
        <w:rPr>
          <w:bCs/>
          <w:vertAlign w:val="subscript"/>
        </w:rPr>
        <w:t>7</w:t>
      </w:r>
      <w:r w:rsidR="00A34883" w:rsidRPr="00781925">
        <w:rPr>
          <w:bCs/>
        </w:rPr>
        <w:t>pib2005</w:t>
      </w:r>
      <w:r w:rsidR="00A34883"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w:t>
      </w:r>
      <w:r w:rsidRPr="00781925">
        <w:rPr>
          <w:b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i/>
        </w:rPr>
        <w:t xml:space="preserve"> </w:t>
      </w:r>
      <w:r w:rsidRPr="00781925">
        <w:rPr>
          <w:bCs/>
        </w:rPr>
        <w:t xml:space="preserve">+ </w:t>
      </w:r>
      <w:proofErr w:type="spellStart"/>
      <w:r w:rsidRPr="00781925">
        <w:rPr>
          <w:bCs/>
          <w:i/>
          <w:iCs/>
        </w:rPr>
        <w:t>c</w:t>
      </w:r>
      <w:r w:rsidRPr="00781925">
        <w:rPr>
          <w:bCs/>
          <w:i/>
          <w:iCs/>
          <w:vertAlign w:val="subscript"/>
        </w:rPr>
        <w:t>i</w:t>
      </w:r>
      <w:proofErr w:type="spellEnd"/>
      <w:r w:rsidRPr="00781925">
        <w:rPr>
          <w:bCs/>
          <w:iCs/>
          <w:vertAlign w:val="subscript"/>
        </w:rPr>
        <w:t xml:space="preserve"> </w:t>
      </w:r>
      <w:r w:rsidRPr="00781925">
        <w:rPr>
          <w:bCs/>
          <w:iCs/>
        </w:rPr>
        <w:t>+</w:t>
      </w:r>
      <w:r w:rsidRPr="00781925">
        <w:rPr>
          <w:bCs/>
        </w:rPr>
        <w:t xml:space="preserve"> </w:t>
      </w:r>
      <w:proofErr w:type="spellStart"/>
      <w:r w:rsidRPr="00781925">
        <w:rPr>
          <w:bCs/>
          <w:i/>
        </w:rPr>
        <w:t>e</w:t>
      </w:r>
      <w:r w:rsidRPr="00781925">
        <w:rPr>
          <w:bCs/>
          <w:i/>
          <w:vertAlign w:val="subscript"/>
        </w:rPr>
        <w:t>it</w:t>
      </w:r>
      <w:proofErr w:type="spellEnd"/>
    </w:p>
    <w:p w14:paraId="1BB08D19" w14:textId="77777777" w:rsidR="00F82B07" w:rsidRPr="00781925" w:rsidRDefault="00F82B07" w:rsidP="00F82B07">
      <w:pPr>
        <w:tabs>
          <w:tab w:val="left" w:pos="851"/>
        </w:tabs>
        <w:spacing w:line="240" w:lineRule="auto"/>
        <w:ind w:left="357"/>
        <w:rPr>
          <w:bCs/>
          <w:i/>
          <w:vertAlign w:val="subscript"/>
        </w:rPr>
      </w:pPr>
    </w:p>
    <w:p w14:paraId="5F21B00D" w14:textId="0E01CD8C" w:rsidR="00134760" w:rsidRPr="00F3407E" w:rsidRDefault="00F3407E" w:rsidP="00FC2664">
      <w:pPr>
        <w:tabs>
          <w:tab w:val="left" w:pos="851"/>
        </w:tabs>
        <w:spacing w:line="480" w:lineRule="auto"/>
        <w:ind w:firstLine="851"/>
        <w:rPr>
          <w:bCs/>
        </w:rPr>
      </w:pPr>
      <w:r>
        <w:rPr>
          <w:bCs/>
        </w:rPr>
        <w:t>A equação (</w:t>
      </w:r>
      <w:r w:rsidR="008B6868">
        <w:rPr>
          <w:bCs/>
        </w:rPr>
        <w:t>3</w:t>
      </w:r>
      <w:r>
        <w:rPr>
          <w:bCs/>
        </w:rPr>
        <w:t xml:space="preserve">) traz como novidade em relação </w:t>
      </w:r>
      <w:proofErr w:type="gramStart"/>
      <w:r>
        <w:rPr>
          <w:bCs/>
        </w:rPr>
        <w:t>a</w:t>
      </w:r>
      <w:proofErr w:type="gramEnd"/>
      <w:r>
        <w:rPr>
          <w:bCs/>
        </w:rPr>
        <w:t xml:space="preserve"> equação (1) a inclusão</w:t>
      </w:r>
      <w:r w:rsidRPr="00F3407E">
        <w:rPr>
          <w:bCs/>
        </w:rPr>
        <w:t xml:space="preserve"> de estimadores de variáveis binárias, </w:t>
      </w:r>
      <w:proofErr w:type="spellStart"/>
      <w:r w:rsidRPr="00F3407E">
        <w:rPr>
          <w:bCs/>
        </w:rPr>
        <w:t>cj</w:t>
      </w:r>
      <w:proofErr w:type="spellEnd"/>
      <w:r>
        <w:rPr>
          <w:bCs/>
        </w:rPr>
        <w:t xml:space="preserve">. </w:t>
      </w:r>
      <w:r w:rsidR="00134760">
        <w:rPr>
          <w:bCs/>
        </w:rPr>
        <w:t>Além disso,</w:t>
      </w:r>
      <w:r w:rsidR="00134760" w:rsidRPr="00134760">
        <w:rPr>
          <w:bCs/>
        </w:rPr>
        <w:t xml:space="preserve"> o intercepto </w:t>
      </w:r>
      <w:r w:rsidR="00134760" w:rsidRPr="00781925">
        <w:rPr>
          <w:bCs/>
          <w:i/>
        </w:rPr>
        <w:t>β</w:t>
      </w:r>
      <w:proofErr w:type="gramStart"/>
      <w:r w:rsidR="00134760" w:rsidRPr="00781925">
        <w:rPr>
          <w:bCs/>
          <w:i/>
          <w:vertAlign w:val="subscript"/>
        </w:rPr>
        <w:t>0</w:t>
      </w:r>
      <w:proofErr w:type="gramEnd"/>
      <w:r w:rsidR="00134760" w:rsidRPr="00134760">
        <w:rPr>
          <w:bCs/>
        </w:rPr>
        <w:t xml:space="preserve"> altera seu significado usual e passa a referir o efeito para o individuo utilizado como referência. </w:t>
      </w:r>
      <w:r>
        <w:rPr>
          <w:bCs/>
        </w:rPr>
        <w:t>Já na equação (</w:t>
      </w:r>
      <w:r w:rsidR="008B6868">
        <w:rPr>
          <w:bCs/>
        </w:rPr>
        <w:t>4</w:t>
      </w:r>
      <w:r>
        <w:rPr>
          <w:bCs/>
        </w:rPr>
        <w:t xml:space="preserve">), </w:t>
      </w:r>
      <w:proofErr w:type="spellStart"/>
      <w:r w:rsidRPr="00781925">
        <w:rPr>
          <w:bCs/>
          <w:i/>
          <w:iCs/>
        </w:rPr>
        <w:t>c</w:t>
      </w:r>
      <w:r w:rsidRPr="00781925">
        <w:rPr>
          <w:bCs/>
          <w:i/>
          <w:iCs/>
          <w:vertAlign w:val="subscript"/>
        </w:rPr>
        <w:t>i</w:t>
      </w:r>
      <w:proofErr w:type="spellEnd"/>
      <w:r>
        <w:rPr>
          <w:bCs/>
          <w:i/>
          <w:iCs/>
          <w:vertAlign w:val="subscript"/>
        </w:rPr>
        <w:t xml:space="preserve"> </w:t>
      </w:r>
      <w:r>
        <w:rPr>
          <w:bCs/>
          <w:iCs/>
        </w:rPr>
        <w:t>representa</w:t>
      </w:r>
      <w:r w:rsidR="00134760">
        <w:rPr>
          <w:bCs/>
          <w:iCs/>
        </w:rPr>
        <w:t xml:space="preserve"> as</w:t>
      </w:r>
      <w:r>
        <w:rPr>
          <w:bCs/>
          <w:iCs/>
        </w:rPr>
        <w:t xml:space="preserve"> </w:t>
      </w:r>
      <w:r w:rsidR="00134760" w:rsidRPr="00134760">
        <w:rPr>
          <w:bCs/>
          <w:iCs/>
        </w:rPr>
        <w:t>oscilações</w:t>
      </w:r>
      <w:r w:rsidR="00134760">
        <w:rPr>
          <w:bCs/>
          <w:iCs/>
        </w:rPr>
        <w:t xml:space="preserve"> </w:t>
      </w:r>
      <w:r w:rsidR="00134760" w:rsidRPr="00134760">
        <w:rPr>
          <w:bCs/>
          <w:iCs/>
        </w:rPr>
        <w:t>aleatórias em torno de um valor médio constante (</w:t>
      </w:r>
      <w:r w:rsidR="00134760" w:rsidRPr="00781925">
        <w:rPr>
          <w:bCs/>
          <w:i/>
        </w:rPr>
        <w:t>β</w:t>
      </w:r>
      <w:proofErr w:type="gramStart"/>
      <w:r w:rsidR="00134760" w:rsidRPr="00781925">
        <w:rPr>
          <w:bCs/>
          <w:i/>
          <w:vertAlign w:val="subscript"/>
        </w:rPr>
        <w:t>0</w:t>
      </w:r>
      <w:proofErr w:type="gramEnd"/>
      <w:r w:rsidR="00134760" w:rsidRPr="00134760">
        <w:rPr>
          <w:bCs/>
          <w:iCs/>
        </w:rPr>
        <w:t>).</w:t>
      </w:r>
      <w:r w:rsidR="00134760">
        <w:rPr>
          <w:bCs/>
          <w:iCs/>
        </w:rPr>
        <w:t xml:space="preserve"> Em comum, </w:t>
      </w:r>
      <w:proofErr w:type="gramStart"/>
      <w:r w:rsidR="00134760">
        <w:rPr>
          <w:bCs/>
          <w:iCs/>
        </w:rPr>
        <w:t>ambas</w:t>
      </w:r>
      <w:proofErr w:type="gramEnd"/>
      <w:r w:rsidR="00134760">
        <w:rPr>
          <w:bCs/>
          <w:iCs/>
        </w:rPr>
        <w:t xml:space="preserve"> equações acrescentam a relação entre a </w:t>
      </w:r>
      <w:proofErr w:type="spellStart"/>
      <w:r w:rsidR="00134760">
        <w:rPr>
          <w:bCs/>
          <w:iCs/>
        </w:rPr>
        <w:t>dummy</w:t>
      </w:r>
      <w:proofErr w:type="spellEnd"/>
      <w:r w:rsidR="00134760">
        <w:rPr>
          <w:bCs/>
          <w:iCs/>
        </w:rPr>
        <w:t xml:space="preserve"> e as variáveis explicativas classificadas como </w:t>
      </w:r>
      <w:proofErr w:type="spellStart"/>
      <w:r w:rsidR="00134760" w:rsidRPr="00134760">
        <w:rPr>
          <w:bCs/>
          <w:i/>
          <w:iCs/>
        </w:rPr>
        <w:t>pull</w:t>
      </w:r>
      <w:proofErr w:type="spellEnd"/>
      <w:r w:rsidR="00134760" w:rsidRPr="00134760">
        <w:rPr>
          <w:bCs/>
          <w:i/>
          <w:iCs/>
        </w:rPr>
        <w:t xml:space="preserve"> </w:t>
      </w:r>
      <w:proofErr w:type="spellStart"/>
      <w:r w:rsidR="00134760" w:rsidRPr="00134760">
        <w:rPr>
          <w:bCs/>
          <w:i/>
          <w:iCs/>
        </w:rPr>
        <w:t>factors</w:t>
      </w:r>
      <w:proofErr w:type="spellEnd"/>
      <w:r w:rsidR="00134760">
        <w:rPr>
          <w:bCs/>
          <w:i/>
          <w:i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r>
          <w:rPr>
            <w:rFonts w:ascii="Cambria Math" w:hAnsi="Cambria Math"/>
            <w:vertAlign w:val="subscript"/>
          </w:rPr>
          <m:t>)</m:t>
        </m:r>
      </m:oMath>
      <w:r w:rsidR="00134760">
        <w:rPr>
          <w:bCs/>
          <w:iCs/>
        </w:rPr>
        <w:t>.</w:t>
      </w:r>
    </w:p>
    <w:p w14:paraId="061EA498" w14:textId="77777777" w:rsidR="002A3BFC" w:rsidRDefault="002A3BFC" w:rsidP="00FC2664">
      <w:pPr>
        <w:spacing w:line="480" w:lineRule="auto"/>
        <w:ind w:firstLine="851"/>
      </w:pPr>
      <w:r>
        <w:t>A escolha de qual modelo adotar se deu com base no teste</w:t>
      </w:r>
      <w:r w:rsidR="00671DE4">
        <w:t xml:space="preserve"> Hausman.</w:t>
      </w:r>
      <w:r>
        <w:t xml:space="preserve"> </w:t>
      </w:r>
      <w:r w:rsidR="00671DE4" w:rsidRPr="00671DE4">
        <w:t xml:space="preserve">Este teste verifica se os resultados apresentados pelos dois métodos são significativamente distintos. Caso não o sejam, poder-se-ia adotar o modelo de efeitos aleatórios, mais eficiente. Sendo distintos, optar-se-ia pelos </w:t>
      </w:r>
      <w:r w:rsidR="00671DE4" w:rsidRPr="00671DE4">
        <w:lastRenderedPageBreak/>
        <w:t xml:space="preserve">efeitos fixos, pois haveria indício de inconsistência nos estimadores. Os resultados </w:t>
      </w:r>
      <w:proofErr w:type="gramStart"/>
      <w:r w:rsidR="007D56EC" w:rsidRPr="00671DE4">
        <w:t>sugerem</w:t>
      </w:r>
      <w:r w:rsidR="007D56EC">
        <w:t>,</w:t>
      </w:r>
      <w:proofErr w:type="gramEnd"/>
      <w:r w:rsidR="00671DE4" w:rsidRPr="00671DE4">
        <w:t xml:space="preserve"> com </w:t>
      </w:r>
      <w:r w:rsidR="00423845">
        <w:t xml:space="preserve">100% </w:t>
      </w:r>
      <w:r w:rsidR="00671DE4" w:rsidRPr="00671DE4">
        <w:t>chance de estar errado, rejeição da hipótese H0</w:t>
      </w:r>
      <w:r w:rsidR="007D56EC">
        <w:t xml:space="preserve"> de diferença nos coeficientes não sistemática. Ou seja</w:t>
      </w:r>
      <w:r w:rsidR="00671DE4" w:rsidRPr="00671DE4">
        <w:t xml:space="preserve">, </w:t>
      </w:r>
      <w:r w:rsidR="007D56EC">
        <w:t>não se pode rejeitar H0 e</w:t>
      </w:r>
      <w:r w:rsidR="00562144">
        <w:t>, portanto</w:t>
      </w:r>
      <w:r w:rsidR="00671DE4" w:rsidRPr="00671DE4">
        <w:t xml:space="preserve"> a opção por efeitos </w:t>
      </w:r>
      <w:r w:rsidR="007D56EC">
        <w:t>aleatórios</w:t>
      </w:r>
      <w:r w:rsidR="00671DE4" w:rsidRPr="00671DE4">
        <w:t xml:space="preserve"> se mostra a mais </w:t>
      </w:r>
      <w:r w:rsidR="007D56EC">
        <w:t>adequada.</w:t>
      </w:r>
    </w:p>
    <w:p w14:paraId="609D198F" w14:textId="77777777" w:rsidR="00BE6D3F" w:rsidRDefault="00BE6D3F" w:rsidP="00FC2664">
      <w:pPr>
        <w:spacing w:line="480" w:lineRule="auto"/>
        <w:ind w:firstLine="851"/>
      </w:pPr>
      <w:r>
        <w:t>Porém, antes de prosseguir para os resultados, deve-se ainda verificar a validade da hipótese de exogeneidade estrita para que as regressões por efeitos aleatórios não incorram em resultados inconsistentes.  De acordo com Wooldridge (2002), existem dois testes para se verificar a quebra da hipótese da exogeneidade estrita. Um deles é realizar a regressão por meio de efeitos fixos e depois compará-la com a regressão em primeira diferença. Entretanto, para regressões com t &gt; 2, Wooldridge (</w:t>
      </w:r>
      <w:proofErr w:type="gramStart"/>
      <w:r>
        <w:t>2002,</w:t>
      </w:r>
      <w:proofErr w:type="gramEnd"/>
      <w:r>
        <w:t>p. 285) recomenda o teste com base  na seguinte equação:</w:t>
      </w:r>
    </w:p>
    <w:p w14:paraId="05EA6196" w14:textId="3C43478B" w:rsidR="00BE6D3F" w:rsidRPr="00D4749A" w:rsidRDefault="00F82B07" w:rsidP="00FC2664">
      <w:pPr>
        <w:spacing w:line="480" w:lineRule="auto"/>
        <w:ind w:firstLine="851"/>
        <w:rPr>
          <w:lang w:val="en-GB"/>
        </w:rPr>
      </w:pPr>
      <w:r>
        <w:t xml:space="preserve"> </w:t>
      </w:r>
      <w:r w:rsidR="00BE6D3F" w:rsidRPr="00D4749A">
        <w:rPr>
          <w:lang w:val="en-GB"/>
        </w:rPr>
        <w:t>(</w:t>
      </w:r>
      <w:r w:rsidR="008B6868">
        <w:rPr>
          <w:lang w:val="en-GB"/>
        </w:rPr>
        <w:t>5</w:t>
      </w:r>
      <w:r w:rsidR="00BE6D3F" w:rsidRPr="00D4749A">
        <w:rPr>
          <w:lang w:val="en-GB"/>
        </w:rPr>
        <w:t>)</w:t>
      </w:r>
      <w:r w:rsidR="00BE6D3F" w:rsidRPr="00D4749A">
        <w:rPr>
          <w:lang w:val="en-GB"/>
        </w:rPr>
        <w:tab/>
      </w:r>
      <w:proofErr w:type="spellStart"/>
      <w:proofErr w:type="gramStart"/>
      <w:r w:rsidR="00BE6D3F" w:rsidRPr="00D4749A">
        <w:rPr>
          <w:lang w:val="en-GB"/>
        </w:rPr>
        <w:t>yit</w:t>
      </w:r>
      <w:proofErr w:type="spellEnd"/>
      <w:proofErr w:type="gramEnd"/>
      <w:r w:rsidR="00BE6D3F" w:rsidRPr="00D4749A">
        <w:rPr>
          <w:lang w:val="en-GB"/>
        </w:rPr>
        <w:t xml:space="preserve"> = </w:t>
      </w:r>
      <w:r w:rsidR="00BE6D3F">
        <w:t>β</w:t>
      </w:r>
      <w:r w:rsidR="00BE6D3F" w:rsidRPr="00D4749A">
        <w:rPr>
          <w:lang w:val="en-GB"/>
        </w:rPr>
        <w:t xml:space="preserve"> </w:t>
      </w:r>
      <w:proofErr w:type="spellStart"/>
      <w:r w:rsidR="00BE6D3F" w:rsidRPr="00D4749A">
        <w:rPr>
          <w:lang w:val="en-GB"/>
        </w:rPr>
        <w:t>Xit</w:t>
      </w:r>
      <w:proofErr w:type="spellEnd"/>
      <w:r w:rsidR="00BE6D3F" w:rsidRPr="00D4749A">
        <w:rPr>
          <w:lang w:val="en-GB"/>
        </w:rPr>
        <w:t xml:space="preserve"> + </w:t>
      </w:r>
      <w:r w:rsidR="00BE6D3F" w:rsidRPr="00BE6D3F">
        <w:rPr>
          <w:lang w:val="en-US"/>
        </w:rPr>
        <w:sym w:font="Symbol" w:char="F064"/>
      </w:r>
      <w:r w:rsidR="00BE6D3F" w:rsidRPr="00D4749A">
        <w:rPr>
          <w:lang w:val="en-GB"/>
        </w:rPr>
        <w:t xml:space="preserve">Wit+1 + ci + </w:t>
      </w:r>
      <w:proofErr w:type="spellStart"/>
      <w:r w:rsidR="00BE6D3F" w:rsidRPr="00D4749A">
        <w:rPr>
          <w:lang w:val="en-GB"/>
        </w:rPr>
        <w:t>eit</w:t>
      </w:r>
      <w:proofErr w:type="spellEnd"/>
    </w:p>
    <w:p w14:paraId="0BAE7AC8" w14:textId="6D4A942F" w:rsidR="00C552A9" w:rsidRDefault="00BE6D3F" w:rsidP="00FC2664">
      <w:pPr>
        <w:spacing w:line="480" w:lineRule="auto"/>
        <w:ind w:firstLine="851"/>
      </w:pPr>
      <w:r>
        <w:t>Essa equação é equivalente à equação</w:t>
      </w:r>
      <w:r w:rsidR="00585A53">
        <w:t xml:space="preserve"> de efeitos fixos</w:t>
      </w:r>
      <w:r>
        <w:t xml:space="preserve"> em que se acrescenta um vetor (</w:t>
      </w:r>
      <w:r w:rsidRPr="00BE6D3F">
        <w:rPr>
          <w:lang w:val="en-US"/>
        </w:rPr>
        <w:sym w:font="Symbol" w:char="F064"/>
      </w:r>
      <w:r>
        <w:t xml:space="preserve">Wit+1) contendo um subconjunto dos regressores originais (β </w:t>
      </w:r>
      <w:proofErr w:type="spellStart"/>
      <w:r>
        <w:t>Xit</w:t>
      </w:r>
      <w:proofErr w:type="spellEnd"/>
      <w:r>
        <w:t xml:space="preserve">), mas em t+1. A hipótese nula é que </w:t>
      </w:r>
      <w:r w:rsidRPr="00BE6D3F">
        <w:rPr>
          <w:lang w:val="en-US"/>
        </w:rPr>
        <w:sym w:font="Symbol" w:char="F064"/>
      </w:r>
      <w:r>
        <w:t xml:space="preserve"> = 0; deste modo, a hipótese de exogeneidade estrita se mantém e poder-se-ia prosseguir com as estimações com base no modelo de efeitos </w:t>
      </w:r>
      <w:proofErr w:type="gramStart"/>
      <w:r>
        <w:t>fixos .</w:t>
      </w:r>
      <w:proofErr w:type="gramEnd"/>
      <w:r>
        <w:t xml:space="preserve"> O subconjunto t+1 da equação </w:t>
      </w:r>
      <w:proofErr w:type="gramStart"/>
      <w:r w:rsidR="00956314">
        <w:t>3</w:t>
      </w:r>
      <w:proofErr w:type="gramEnd"/>
      <w:r>
        <w:t xml:space="preserve"> deverá conter todas as variáveis sob suspeita de a</w:t>
      </w:r>
      <w:r w:rsidR="00956314">
        <w:t xml:space="preserve">usência de exogeneidade estrita. Neste trabalho </w:t>
      </w:r>
      <w:r>
        <w:t xml:space="preserve">se </w:t>
      </w:r>
      <w:r w:rsidR="00956314">
        <w:t xml:space="preserve">colocou </w:t>
      </w:r>
      <w:r>
        <w:t xml:space="preserve">todas as variáveis classificadas como </w:t>
      </w:r>
      <w:proofErr w:type="spellStart"/>
      <w:r w:rsidRPr="00956314">
        <w:rPr>
          <w:i/>
        </w:rPr>
        <w:t>pull</w:t>
      </w:r>
      <w:proofErr w:type="spellEnd"/>
      <w:r w:rsidRPr="00956314">
        <w:rPr>
          <w:i/>
        </w:rPr>
        <w:t xml:space="preserve"> </w:t>
      </w:r>
      <w:proofErr w:type="spellStart"/>
      <w:r w:rsidRPr="00956314">
        <w:rPr>
          <w:i/>
        </w:rPr>
        <w:t>factors</w:t>
      </w:r>
      <w:proofErr w:type="spellEnd"/>
      <w:r w:rsidR="004A56C8">
        <w:rPr>
          <w:rStyle w:val="Refdenotaderodap"/>
          <w:i/>
        </w:rPr>
        <w:footnoteReference w:id="20"/>
      </w:r>
      <w:r>
        <w:t xml:space="preserve">. </w:t>
      </w:r>
      <w:r w:rsidR="00956314">
        <w:t>N</w:t>
      </w:r>
      <w:r>
        <w:t xml:space="preserve">enhuma variável testada apresentou indícios de quebra da hipótese de exogeneidade estrita. Ou seja, não pode se rejeitar H0 (ver apêndice </w:t>
      </w:r>
      <w:proofErr w:type="gramStart"/>
      <w:r>
        <w:t>1</w:t>
      </w:r>
      <w:proofErr w:type="gramEnd"/>
      <w:r>
        <w:t>).</w:t>
      </w:r>
      <w:r w:rsidR="008E7195">
        <w:t xml:space="preserve"> Send</w:t>
      </w:r>
      <w:r w:rsidR="00554942">
        <w:t xml:space="preserve">o assim, segue-se com o modelo por efeitos aleatórios, cujos resultados se encontram na tabela </w:t>
      </w:r>
      <w:r w:rsidR="008B6868">
        <w:t>2</w:t>
      </w:r>
      <w:r w:rsidR="00423845">
        <w:rPr>
          <w:rStyle w:val="Refdenotaderodap"/>
        </w:rPr>
        <w:footnoteReference w:id="21"/>
      </w:r>
      <w:r w:rsidR="00554942">
        <w:t>.</w:t>
      </w:r>
    </w:p>
    <w:p w14:paraId="3FA9027A" w14:textId="5D88E24D" w:rsidR="00456DC4" w:rsidRDefault="00380149" w:rsidP="00F82B07">
      <w:pPr>
        <w:spacing w:line="240" w:lineRule="auto"/>
      </w:pPr>
      <w:r w:rsidRPr="000A0093">
        <w:rPr>
          <w:b/>
        </w:rPr>
        <w:t xml:space="preserve">Tabela </w:t>
      </w:r>
      <w:r w:rsidR="004032FE">
        <w:rPr>
          <w:b/>
        </w:rPr>
        <w:t>2</w:t>
      </w:r>
      <w:r w:rsidR="00456DC4" w:rsidRPr="000A0093">
        <w:rPr>
          <w:b/>
        </w:rPr>
        <w:t xml:space="preserve"> – </w:t>
      </w:r>
      <w:r w:rsidR="00456DC4" w:rsidRPr="000A0093">
        <w:t xml:space="preserve">Resumo das regressões por RE: </w:t>
      </w:r>
      <w:proofErr w:type="spellStart"/>
      <w:r w:rsidR="00456DC4" w:rsidRPr="000A0093">
        <w:t>dummy</w:t>
      </w:r>
      <w:proofErr w:type="spellEnd"/>
      <w:r w:rsidR="00456DC4" w:rsidRPr="000A0093">
        <w:t xml:space="preserve"> x (reservas, </w:t>
      </w:r>
      <w:proofErr w:type="spellStart"/>
      <w:r w:rsidR="00456DC4" w:rsidRPr="000A0093">
        <w:t>tc</w:t>
      </w:r>
      <w:proofErr w:type="spellEnd"/>
      <w:r w:rsidR="00456DC4" w:rsidRPr="000A0093">
        <w:t>)</w:t>
      </w:r>
      <w:r w:rsidR="00F85606" w:rsidRPr="000A0093">
        <w:t>.</w:t>
      </w:r>
    </w:p>
    <w:tbl>
      <w:tblPr>
        <w:tblW w:w="9229" w:type="dxa"/>
        <w:tblInd w:w="55" w:type="dxa"/>
        <w:tblLayout w:type="fixed"/>
        <w:tblCellMar>
          <w:left w:w="70" w:type="dxa"/>
          <w:right w:w="70" w:type="dxa"/>
        </w:tblCellMar>
        <w:tblLook w:val="04A0" w:firstRow="1" w:lastRow="0" w:firstColumn="1" w:lastColumn="0" w:noHBand="0" w:noVBand="1"/>
      </w:tblPr>
      <w:tblGrid>
        <w:gridCol w:w="1290"/>
        <w:gridCol w:w="1299"/>
        <w:gridCol w:w="1001"/>
        <w:gridCol w:w="1245"/>
        <w:gridCol w:w="1276"/>
        <w:gridCol w:w="1134"/>
        <w:gridCol w:w="1134"/>
        <w:gridCol w:w="850"/>
      </w:tblGrid>
      <w:tr w:rsidR="00EA563E" w:rsidRPr="00EA563E" w14:paraId="5148EEDA" w14:textId="77777777" w:rsidTr="00EA563E">
        <w:trPr>
          <w:trHeight w:val="510"/>
        </w:trPr>
        <w:tc>
          <w:tcPr>
            <w:tcW w:w="1290" w:type="dxa"/>
            <w:tcBorders>
              <w:top w:val="single" w:sz="4" w:space="0" w:color="auto"/>
              <w:left w:val="nil"/>
              <w:bottom w:val="single" w:sz="4" w:space="0" w:color="auto"/>
              <w:right w:val="nil"/>
            </w:tcBorders>
            <w:shd w:val="clear" w:color="auto" w:fill="auto"/>
            <w:vAlign w:val="center"/>
            <w:hideMark/>
          </w:tcPr>
          <w:p w14:paraId="51D0E88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299" w:type="dxa"/>
            <w:tcBorders>
              <w:top w:val="single" w:sz="4" w:space="0" w:color="auto"/>
              <w:left w:val="nil"/>
              <w:bottom w:val="single" w:sz="4" w:space="0" w:color="auto"/>
              <w:right w:val="nil"/>
            </w:tcBorders>
            <w:shd w:val="clear" w:color="auto" w:fill="auto"/>
            <w:vAlign w:val="center"/>
            <w:hideMark/>
          </w:tcPr>
          <w:p w14:paraId="56752D3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001" w:type="dxa"/>
            <w:tcBorders>
              <w:top w:val="single" w:sz="4" w:space="0" w:color="auto"/>
              <w:left w:val="nil"/>
              <w:bottom w:val="single" w:sz="4" w:space="0" w:color="auto"/>
              <w:right w:val="nil"/>
            </w:tcBorders>
            <w:shd w:val="clear" w:color="auto" w:fill="auto"/>
            <w:vAlign w:val="center"/>
            <w:hideMark/>
          </w:tcPr>
          <w:p w14:paraId="6854EE0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1245" w:type="dxa"/>
            <w:tcBorders>
              <w:top w:val="single" w:sz="4" w:space="0" w:color="auto"/>
              <w:left w:val="nil"/>
              <w:bottom w:val="single" w:sz="4" w:space="0" w:color="auto"/>
              <w:right w:val="single" w:sz="8" w:space="0" w:color="auto"/>
            </w:tcBorders>
            <w:shd w:val="clear" w:color="auto" w:fill="auto"/>
            <w:vAlign w:val="center"/>
            <w:hideMark/>
          </w:tcPr>
          <w:p w14:paraId="1D3C41DC" w14:textId="77777777" w:rsidR="00EA563E" w:rsidRPr="00EA563E" w:rsidRDefault="00EA563E" w:rsidP="00F82B07">
            <w:pPr>
              <w:spacing w:line="240" w:lineRule="auto"/>
              <w:rPr>
                <w:rFonts w:eastAsia="Times New Roman"/>
                <w:color w:val="000000"/>
                <w:sz w:val="20"/>
                <w:szCs w:val="20"/>
                <w:lang w:eastAsia="pt-BR"/>
              </w:rPr>
            </w:pPr>
            <w:proofErr w:type="spellStart"/>
            <w:r w:rsidRPr="00EA563E">
              <w:rPr>
                <w:rFonts w:eastAsia="Times New Roman"/>
                <w:color w:val="000000"/>
                <w:sz w:val="20"/>
                <w:szCs w:val="20"/>
                <w:lang w:eastAsia="pt-BR"/>
              </w:rPr>
              <w:t>Prob</w:t>
            </w:r>
            <w:proofErr w:type="spellEnd"/>
            <w:r w:rsidRPr="00EA563E">
              <w:rPr>
                <w:rFonts w:eastAsia="Times New Roman"/>
                <w:color w:val="000000"/>
                <w:sz w:val="20"/>
                <w:szCs w:val="20"/>
                <w:lang w:eastAsia="pt-BR"/>
              </w:rPr>
              <w:t>. &gt; t</w:t>
            </w:r>
          </w:p>
        </w:tc>
        <w:tc>
          <w:tcPr>
            <w:tcW w:w="1276" w:type="dxa"/>
            <w:tcBorders>
              <w:top w:val="single" w:sz="4" w:space="0" w:color="auto"/>
              <w:left w:val="nil"/>
              <w:bottom w:val="single" w:sz="4" w:space="0" w:color="auto"/>
              <w:right w:val="nil"/>
            </w:tcBorders>
            <w:shd w:val="clear" w:color="auto" w:fill="auto"/>
            <w:vAlign w:val="center"/>
            <w:hideMark/>
          </w:tcPr>
          <w:p w14:paraId="2BB75B0E"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134" w:type="dxa"/>
            <w:tcBorders>
              <w:top w:val="single" w:sz="4" w:space="0" w:color="auto"/>
              <w:left w:val="nil"/>
              <w:bottom w:val="single" w:sz="4" w:space="0" w:color="auto"/>
              <w:right w:val="nil"/>
            </w:tcBorders>
            <w:shd w:val="clear" w:color="auto" w:fill="auto"/>
            <w:vAlign w:val="center"/>
            <w:hideMark/>
          </w:tcPr>
          <w:p w14:paraId="342D0287"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134" w:type="dxa"/>
            <w:tcBorders>
              <w:top w:val="single" w:sz="4" w:space="0" w:color="auto"/>
              <w:left w:val="nil"/>
              <w:bottom w:val="single" w:sz="4" w:space="0" w:color="auto"/>
              <w:right w:val="nil"/>
            </w:tcBorders>
            <w:shd w:val="clear" w:color="auto" w:fill="auto"/>
            <w:vAlign w:val="center"/>
            <w:hideMark/>
          </w:tcPr>
          <w:p w14:paraId="3DC6B1BC"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850" w:type="dxa"/>
            <w:tcBorders>
              <w:top w:val="single" w:sz="4" w:space="0" w:color="auto"/>
              <w:left w:val="nil"/>
              <w:bottom w:val="single" w:sz="4" w:space="0" w:color="auto"/>
              <w:right w:val="nil"/>
            </w:tcBorders>
            <w:shd w:val="clear" w:color="auto" w:fill="auto"/>
            <w:vAlign w:val="center"/>
            <w:hideMark/>
          </w:tcPr>
          <w:p w14:paraId="0A9D5816" w14:textId="77777777" w:rsidR="00EA563E" w:rsidRPr="00EA563E" w:rsidRDefault="00EA563E" w:rsidP="00F82B07">
            <w:pPr>
              <w:spacing w:line="240" w:lineRule="auto"/>
              <w:rPr>
                <w:rFonts w:eastAsia="Times New Roman"/>
                <w:color w:val="000000"/>
                <w:sz w:val="20"/>
                <w:szCs w:val="20"/>
                <w:lang w:eastAsia="pt-BR"/>
              </w:rPr>
            </w:pPr>
            <w:proofErr w:type="spellStart"/>
            <w:r w:rsidRPr="00EA563E">
              <w:rPr>
                <w:rFonts w:eastAsia="Times New Roman"/>
                <w:color w:val="000000"/>
                <w:sz w:val="20"/>
                <w:szCs w:val="20"/>
                <w:lang w:eastAsia="pt-BR"/>
              </w:rPr>
              <w:t>Prob</w:t>
            </w:r>
            <w:proofErr w:type="spellEnd"/>
            <w:r w:rsidRPr="00EA563E">
              <w:rPr>
                <w:rFonts w:eastAsia="Times New Roman"/>
                <w:color w:val="000000"/>
                <w:sz w:val="20"/>
                <w:szCs w:val="20"/>
                <w:lang w:eastAsia="pt-BR"/>
              </w:rPr>
              <w:t>. &gt; t</w:t>
            </w:r>
          </w:p>
        </w:tc>
      </w:tr>
      <w:tr w:rsidR="00EA563E" w:rsidRPr="00EA563E" w14:paraId="48A952D0" w14:textId="77777777" w:rsidTr="00EA563E">
        <w:trPr>
          <w:trHeight w:val="300"/>
        </w:trPr>
        <w:tc>
          <w:tcPr>
            <w:tcW w:w="1290" w:type="dxa"/>
            <w:tcBorders>
              <w:top w:val="nil"/>
              <w:left w:val="nil"/>
              <w:bottom w:val="nil"/>
              <w:right w:val="nil"/>
            </w:tcBorders>
            <w:shd w:val="clear" w:color="auto" w:fill="auto"/>
            <w:vAlign w:val="center"/>
            <w:hideMark/>
          </w:tcPr>
          <w:p w14:paraId="75FFF723"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vix</w:t>
            </w:r>
            <w:proofErr w:type="spellEnd"/>
            <w:proofErr w:type="gramEnd"/>
          </w:p>
        </w:tc>
        <w:tc>
          <w:tcPr>
            <w:tcW w:w="1299" w:type="dxa"/>
            <w:tcBorders>
              <w:top w:val="nil"/>
              <w:left w:val="nil"/>
              <w:bottom w:val="nil"/>
              <w:right w:val="nil"/>
            </w:tcBorders>
            <w:shd w:val="clear" w:color="auto" w:fill="auto"/>
            <w:noWrap/>
            <w:vAlign w:val="center"/>
            <w:hideMark/>
          </w:tcPr>
          <w:p w14:paraId="77B8E0A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-0,0719574</w:t>
            </w:r>
          </w:p>
        </w:tc>
        <w:tc>
          <w:tcPr>
            <w:tcW w:w="1001" w:type="dxa"/>
            <w:tcBorders>
              <w:top w:val="nil"/>
              <w:left w:val="nil"/>
              <w:bottom w:val="nil"/>
              <w:right w:val="nil"/>
            </w:tcBorders>
            <w:shd w:val="clear" w:color="auto" w:fill="auto"/>
            <w:noWrap/>
            <w:vAlign w:val="center"/>
            <w:hideMark/>
          </w:tcPr>
          <w:p w14:paraId="0A8FC9C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0,0338507</w:t>
            </w:r>
          </w:p>
        </w:tc>
        <w:tc>
          <w:tcPr>
            <w:tcW w:w="1245" w:type="dxa"/>
            <w:tcBorders>
              <w:top w:val="nil"/>
              <w:left w:val="nil"/>
              <w:bottom w:val="nil"/>
              <w:right w:val="single" w:sz="4" w:space="0" w:color="auto"/>
            </w:tcBorders>
            <w:shd w:val="clear" w:color="auto" w:fill="auto"/>
            <w:noWrap/>
            <w:vAlign w:val="center"/>
            <w:hideMark/>
          </w:tcPr>
          <w:p w14:paraId="493CA00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0,034</w:t>
            </w:r>
          </w:p>
        </w:tc>
        <w:tc>
          <w:tcPr>
            <w:tcW w:w="1276" w:type="dxa"/>
            <w:tcBorders>
              <w:top w:val="nil"/>
              <w:left w:val="nil"/>
              <w:bottom w:val="nil"/>
              <w:right w:val="nil"/>
            </w:tcBorders>
            <w:shd w:val="clear" w:color="auto" w:fill="auto"/>
            <w:noWrap/>
            <w:vAlign w:val="center"/>
            <w:hideMark/>
          </w:tcPr>
          <w:p w14:paraId="35D4D483"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crise</w:t>
            </w:r>
            <w:proofErr w:type="gramEnd"/>
          </w:p>
        </w:tc>
        <w:tc>
          <w:tcPr>
            <w:tcW w:w="1134" w:type="dxa"/>
            <w:tcBorders>
              <w:top w:val="nil"/>
              <w:left w:val="nil"/>
              <w:bottom w:val="nil"/>
              <w:right w:val="nil"/>
            </w:tcBorders>
            <w:shd w:val="clear" w:color="auto" w:fill="auto"/>
            <w:noWrap/>
            <w:vAlign w:val="center"/>
            <w:hideMark/>
          </w:tcPr>
          <w:p w14:paraId="40E96B8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0,0462071</w:t>
            </w:r>
          </w:p>
        </w:tc>
        <w:tc>
          <w:tcPr>
            <w:tcW w:w="1134" w:type="dxa"/>
            <w:tcBorders>
              <w:top w:val="nil"/>
              <w:left w:val="nil"/>
              <w:bottom w:val="nil"/>
              <w:right w:val="nil"/>
            </w:tcBorders>
            <w:shd w:val="clear" w:color="auto" w:fill="auto"/>
            <w:noWrap/>
            <w:vAlign w:val="center"/>
            <w:hideMark/>
          </w:tcPr>
          <w:p w14:paraId="55CDD30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0,0567783</w:t>
            </w:r>
          </w:p>
        </w:tc>
        <w:tc>
          <w:tcPr>
            <w:tcW w:w="850" w:type="dxa"/>
            <w:tcBorders>
              <w:top w:val="nil"/>
              <w:left w:val="nil"/>
              <w:bottom w:val="nil"/>
              <w:right w:val="nil"/>
            </w:tcBorders>
            <w:shd w:val="clear" w:color="auto" w:fill="auto"/>
            <w:noWrap/>
            <w:vAlign w:val="center"/>
            <w:hideMark/>
          </w:tcPr>
          <w:p w14:paraId="5425C95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0,416</w:t>
            </w:r>
          </w:p>
        </w:tc>
      </w:tr>
      <w:tr w:rsidR="00EA563E" w:rsidRPr="00EA563E" w14:paraId="05E472F3" w14:textId="77777777" w:rsidTr="00EA563E">
        <w:trPr>
          <w:trHeight w:val="300"/>
        </w:trPr>
        <w:tc>
          <w:tcPr>
            <w:tcW w:w="1290" w:type="dxa"/>
            <w:tcBorders>
              <w:top w:val="nil"/>
              <w:left w:val="nil"/>
              <w:bottom w:val="nil"/>
              <w:right w:val="nil"/>
            </w:tcBorders>
            <w:shd w:val="clear" w:color="auto" w:fill="auto"/>
            <w:noWrap/>
            <w:vAlign w:val="center"/>
            <w:hideMark/>
          </w:tcPr>
          <w:p w14:paraId="22DAD15A"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dowjones</w:t>
            </w:r>
            <w:proofErr w:type="spellEnd"/>
            <w:proofErr w:type="gramEnd"/>
          </w:p>
        </w:tc>
        <w:tc>
          <w:tcPr>
            <w:tcW w:w="1299" w:type="dxa"/>
            <w:tcBorders>
              <w:top w:val="nil"/>
              <w:left w:val="nil"/>
              <w:bottom w:val="nil"/>
              <w:right w:val="nil"/>
            </w:tcBorders>
            <w:shd w:val="clear" w:color="auto" w:fill="auto"/>
            <w:noWrap/>
            <w:vAlign w:val="center"/>
            <w:hideMark/>
          </w:tcPr>
          <w:p w14:paraId="3F9E30B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-0,1521107</w:t>
            </w:r>
          </w:p>
        </w:tc>
        <w:tc>
          <w:tcPr>
            <w:tcW w:w="1001" w:type="dxa"/>
            <w:tcBorders>
              <w:top w:val="nil"/>
              <w:left w:val="nil"/>
              <w:bottom w:val="nil"/>
              <w:right w:val="nil"/>
            </w:tcBorders>
            <w:shd w:val="clear" w:color="auto" w:fill="auto"/>
            <w:noWrap/>
            <w:vAlign w:val="center"/>
            <w:hideMark/>
          </w:tcPr>
          <w:p w14:paraId="32C030E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0,0768944</w:t>
            </w:r>
          </w:p>
        </w:tc>
        <w:tc>
          <w:tcPr>
            <w:tcW w:w="1245" w:type="dxa"/>
            <w:tcBorders>
              <w:top w:val="nil"/>
              <w:left w:val="nil"/>
              <w:bottom w:val="nil"/>
              <w:right w:val="single" w:sz="4" w:space="0" w:color="auto"/>
            </w:tcBorders>
            <w:shd w:val="clear" w:color="auto" w:fill="auto"/>
            <w:noWrap/>
            <w:vAlign w:val="center"/>
            <w:hideMark/>
          </w:tcPr>
          <w:p w14:paraId="1220E5E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0,048</w:t>
            </w:r>
          </w:p>
        </w:tc>
        <w:tc>
          <w:tcPr>
            <w:tcW w:w="1276" w:type="dxa"/>
            <w:tcBorders>
              <w:top w:val="nil"/>
              <w:left w:val="nil"/>
              <w:bottom w:val="nil"/>
              <w:right w:val="nil"/>
            </w:tcBorders>
            <w:shd w:val="clear" w:color="auto" w:fill="auto"/>
            <w:vAlign w:val="center"/>
            <w:hideMark/>
          </w:tcPr>
          <w:p w14:paraId="131FF262"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tc</w:t>
            </w:r>
            <w:proofErr w:type="spellEnd"/>
            <w:proofErr w:type="gramEnd"/>
          </w:p>
        </w:tc>
        <w:tc>
          <w:tcPr>
            <w:tcW w:w="1134" w:type="dxa"/>
            <w:tcBorders>
              <w:top w:val="nil"/>
              <w:left w:val="nil"/>
              <w:bottom w:val="nil"/>
              <w:right w:val="nil"/>
            </w:tcBorders>
            <w:shd w:val="clear" w:color="auto" w:fill="auto"/>
            <w:noWrap/>
            <w:vAlign w:val="center"/>
            <w:hideMark/>
          </w:tcPr>
          <w:p w14:paraId="4BA266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w:t>
            </w:r>
            <w:proofErr w:type="gramStart"/>
            <w:r w:rsidRPr="00EA563E">
              <w:rPr>
                <w:rFonts w:ascii="Calibri" w:eastAsia="Times New Roman" w:hAnsi="Calibri"/>
                <w:color w:val="000000"/>
                <w:sz w:val="20"/>
                <w:szCs w:val="20"/>
                <w:lang w:eastAsia="pt-BR"/>
              </w:rPr>
              <w:t>3,</w:t>
            </w:r>
            <w:proofErr w:type="gramEnd"/>
            <w:r w:rsidRPr="00EA563E">
              <w:rPr>
                <w:rFonts w:ascii="Calibri" w:eastAsia="Times New Roman" w:hAnsi="Calibri"/>
                <w:color w:val="000000"/>
                <w:sz w:val="20"/>
                <w:szCs w:val="20"/>
                <w:lang w:eastAsia="pt-BR"/>
              </w:rPr>
              <w:t>553,311</w:t>
            </w:r>
          </w:p>
        </w:tc>
        <w:tc>
          <w:tcPr>
            <w:tcW w:w="1134" w:type="dxa"/>
            <w:tcBorders>
              <w:top w:val="nil"/>
              <w:left w:val="nil"/>
              <w:bottom w:val="nil"/>
              <w:right w:val="nil"/>
            </w:tcBorders>
            <w:shd w:val="clear" w:color="auto" w:fill="auto"/>
            <w:noWrap/>
            <w:vAlign w:val="center"/>
            <w:hideMark/>
          </w:tcPr>
          <w:p w14:paraId="30537D52" w14:textId="77777777" w:rsidR="00EA563E" w:rsidRPr="00EA563E" w:rsidRDefault="00EA563E" w:rsidP="00F82B07">
            <w:pPr>
              <w:spacing w:line="240" w:lineRule="auto"/>
              <w:rPr>
                <w:rFonts w:ascii="Calibri" w:eastAsia="Times New Roman" w:hAnsi="Calibri"/>
                <w:color w:val="000000"/>
                <w:sz w:val="20"/>
                <w:szCs w:val="20"/>
                <w:lang w:eastAsia="pt-BR"/>
              </w:rPr>
            </w:pPr>
            <w:proofErr w:type="gramStart"/>
            <w:r w:rsidRPr="00EA563E">
              <w:rPr>
                <w:rFonts w:ascii="Calibri" w:eastAsia="Times New Roman" w:hAnsi="Calibri"/>
                <w:color w:val="000000"/>
                <w:sz w:val="20"/>
                <w:szCs w:val="20"/>
                <w:lang w:eastAsia="pt-BR"/>
              </w:rPr>
              <w:t>1</w:t>
            </w:r>
            <w:proofErr w:type="gramEnd"/>
            <w:r w:rsidRPr="00EA563E">
              <w:rPr>
                <w:rFonts w:ascii="Calibri" w:eastAsia="Times New Roman" w:hAnsi="Calibri"/>
                <w:color w:val="000000"/>
                <w:sz w:val="20"/>
                <w:szCs w:val="20"/>
                <w:lang w:eastAsia="pt-BR"/>
              </w:rPr>
              <w:t>,715,069</w:t>
            </w:r>
          </w:p>
        </w:tc>
        <w:tc>
          <w:tcPr>
            <w:tcW w:w="850" w:type="dxa"/>
            <w:tcBorders>
              <w:top w:val="nil"/>
              <w:left w:val="nil"/>
              <w:bottom w:val="nil"/>
              <w:right w:val="nil"/>
            </w:tcBorders>
            <w:shd w:val="clear" w:color="auto" w:fill="auto"/>
            <w:noWrap/>
            <w:vAlign w:val="center"/>
            <w:hideMark/>
          </w:tcPr>
          <w:p w14:paraId="0DFB89D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0,038</w:t>
            </w:r>
          </w:p>
        </w:tc>
      </w:tr>
      <w:tr w:rsidR="00EA563E" w:rsidRPr="00EA563E" w14:paraId="39BF5889" w14:textId="77777777" w:rsidTr="00EA563E">
        <w:trPr>
          <w:trHeight w:val="300"/>
        </w:trPr>
        <w:tc>
          <w:tcPr>
            <w:tcW w:w="1290" w:type="dxa"/>
            <w:tcBorders>
              <w:top w:val="nil"/>
              <w:left w:val="nil"/>
              <w:bottom w:val="nil"/>
              <w:right w:val="nil"/>
            </w:tcBorders>
            <w:shd w:val="clear" w:color="auto" w:fill="auto"/>
            <w:noWrap/>
            <w:vAlign w:val="center"/>
            <w:hideMark/>
          </w:tcPr>
          <w:p w14:paraId="281A8655"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lastRenderedPageBreak/>
              <w:t>pibmp</w:t>
            </w:r>
            <w:proofErr w:type="spellEnd"/>
            <w:proofErr w:type="gramEnd"/>
          </w:p>
        </w:tc>
        <w:tc>
          <w:tcPr>
            <w:tcW w:w="1299" w:type="dxa"/>
            <w:tcBorders>
              <w:top w:val="nil"/>
              <w:left w:val="nil"/>
              <w:bottom w:val="nil"/>
              <w:right w:val="nil"/>
            </w:tcBorders>
            <w:shd w:val="clear" w:color="auto" w:fill="auto"/>
            <w:noWrap/>
            <w:vAlign w:val="center"/>
            <w:hideMark/>
          </w:tcPr>
          <w:p w14:paraId="1CA02B3F"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0,1213378</w:t>
            </w:r>
          </w:p>
        </w:tc>
        <w:tc>
          <w:tcPr>
            <w:tcW w:w="1001" w:type="dxa"/>
            <w:tcBorders>
              <w:top w:val="nil"/>
              <w:left w:val="nil"/>
              <w:bottom w:val="nil"/>
              <w:right w:val="nil"/>
            </w:tcBorders>
            <w:shd w:val="clear" w:color="auto" w:fill="auto"/>
            <w:noWrap/>
            <w:vAlign w:val="center"/>
            <w:hideMark/>
          </w:tcPr>
          <w:p w14:paraId="47A7C47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0,0694218</w:t>
            </w:r>
          </w:p>
        </w:tc>
        <w:tc>
          <w:tcPr>
            <w:tcW w:w="1245" w:type="dxa"/>
            <w:tcBorders>
              <w:top w:val="nil"/>
              <w:left w:val="nil"/>
              <w:bottom w:val="nil"/>
              <w:right w:val="single" w:sz="4" w:space="0" w:color="auto"/>
            </w:tcBorders>
            <w:shd w:val="clear" w:color="auto" w:fill="auto"/>
            <w:noWrap/>
            <w:vAlign w:val="center"/>
            <w:hideMark/>
          </w:tcPr>
          <w:p w14:paraId="0A29B68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w:t>
            </w:r>
          </w:p>
        </w:tc>
        <w:tc>
          <w:tcPr>
            <w:tcW w:w="1276" w:type="dxa"/>
            <w:tcBorders>
              <w:top w:val="nil"/>
              <w:left w:val="nil"/>
              <w:bottom w:val="nil"/>
              <w:right w:val="nil"/>
            </w:tcBorders>
            <w:shd w:val="clear" w:color="auto" w:fill="auto"/>
            <w:vAlign w:val="center"/>
            <w:hideMark/>
          </w:tcPr>
          <w:p w14:paraId="7D4BCE40"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tc</w:t>
            </w:r>
            <w:proofErr w:type="spellEnd"/>
            <w:proofErr w:type="gramEnd"/>
            <w:r w:rsidRPr="00EA563E">
              <w:rPr>
                <w:rFonts w:eastAsia="Times New Roman"/>
                <w:color w:val="000000"/>
                <w:sz w:val="20"/>
                <w:szCs w:val="20"/>
                <w:lang w:eastAsia="pt-BR"/>
              </w:rPr>
              <w:t>*crise</w:t>
            </w:r>
          </w:p>
        </w:tc>
        <w:tc>
          <w:tcPr>
            <w:tcW w:w="1134" w:type="dxa"/>
            <w:tcBorders>
              <w:top w:val="nil"/>
              <w:left w:val="nil"/>
              <w:bottom w:val="nil"/>
              <w:right w:val="nil"/>
            </w:tcBorders>
            <w:shd w:val="clear" w:color="auto" w:fill="auto"/>
            <w:noWrap/>
            <w:vAlign w:val="center"/>
            <w:hideMark/>
          </w:tcPr>
          <w:p w14:paraId="6034677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-303,166</w:t>
            </w:r>
          </w:p>
        </w:tc>
        <w:tc>
          <w:tcPr>
            <w:tcW w:w="1134" w:type="dxa"/>
            <w:tcBorders>
              <w:top w:val="nil"/>
              <w:left w:val="nil"/>
              <w:bottom w:val="nil"/>
              <w:right w:val="nil"/>
            </w:tcBorders>
            <w:shd w:val="clear" w:color="auto" w:fill="auto"/>
            <w:noWrap/>
            <w:vAlign w:val="center"/>
            <w:hideMark/>
          </w:tcPr>
          <w:p w14:paraId="5571D73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158,986</w:t>
            </w:r>
          </w:p>
        </w:tc>
        <w:tc>
          <w:tcPr>
            <w:tcW w:w="850" w:type="dxa"/>
            <w:tcBorders>
              <w:top w:val="nil"/>
              <w:left w:val="nil"/>
              <w:bottom w:val="nil"/>
              <w:right w:val="nil"/>
            </w:tcBorders>
            <w:shd w:val="clear" w:color="auto" w:fill="auto"/>
            <w:noWrap/>
            <w:vAlign w:val="center"/>
            <w:hideMark/>
          </w:tcPr>
          <w:p w14:paraId="0B5AE9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0,057</w:t>
            </w:r>
          </w:p>
        </w:tc>
      </w:tr>
      <w:tr w:rsidR="00EA563E" w:rsidRPr="00EA563E" w14:paraId="62D9371A" w14:textId="77777777" w:rsidTr="00EA563E">
        <w:trPr>
          <w:trHeight w:val="300"/>
        </w:trPr>
        <w:tc>
          <w:tcPr>
            <w:tcW w:w="1290" w:type="dxa"/>
            <w:tcBorders>
              <w:top w:val="nil"/>
              <w:left w:val="nil"/>
              <w:bottom w:val="nil"/>
              <w:right w:val="nil"/>
            </w:tcBorders>
            <w:shd w:val="clear" w:color="auto" w:fill="auto"/>
            <w:noWrap/>
            <w:vAlign w:val="center"/>
            <w:hideMark/>
          </w:tcPr>
          <w:p w14:paraId="7CB45915"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ffr</w:t>
            </w:r>
            <w:proofErr w:type="spellEnd"/>
            <w:proofErr w:type="gramEnd"/>
          </w:p>
        </w:tc>
        <w:tc>
          <w:tcPr>
            <w:tcW w:w="1299" w:type="dxa"/>
            <w:tcBorders>
              <w:top w:val="nil"/>
              <w:left w:val="nil"/>
              <w:bottom w:val="nil"/>
              <w:right w:val="nil"/>
            </w:tcBorders>
            <w:shd w:val="clear" w:color="auto" w:fill="auto"/>
            <w:noWrap/>
            <w:vAlign w:val="center"/>
            <w:hideMark/>
          </w:tcPr>
          <w:p w14:paraId="2DCA684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-0,1052146</w:t>
            </w:r>
          </w:p>
        </w:tc>
        <w:tc>
          <w:tcPr>
            <w:tcW w:w="1001" w:type="dxa"/>
            <w:tcBorders>
              <w:top w:val="nil"/>
              <w:left w:val="nil"/>
              <w:bottom w:val="nil"/>
              <w:right w:val="nil"/>
            </w:tcBorders>
            <w:shd w:val="clear" w:color="auto" w:fill="auto"/>
            <w:noWrap/>
            <w:vAlign w:val="center"/>
            <w:hideMark/>
          </w:tcPr>
          <w:p w14:paraId="490E2F3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0,0805292</w:t>
            </w:r>
          </w:p>
        </w:tc>
        <w:tc>
          <w:tcPr>
            <w:tcW w:w="1245" w:type="dxa"/>
            <w:tcBorders>
              <w:top w:val="nil"/>
              <w:left w:val="nil"/>
              <w:bottom w:val="nil"/>
              <w:right w:val="single" w:sz="4" w:space="0" w:color="auto"/>
            </w:tcBorders>
            <w:shd w:val="clear" w:color="auto" w:fill="auto"/>
            <w:noWrap/>
            <w:vAlign w:val="center"/>
            <w:hideMark/>
          </w:tcPr>
          <w:p w14:paraId="40358A1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0,191</w:t>
            </w:r>
          </w:p>
        </w:tc>
        <w:tc>
          <w:tcPr>
            <w:tcW w:w="1276" w:type="dxa"/>
            <w:tcBorders>
              <w:top w:val="nil"/>
              <w:left w:val="nil"/>
              <w:bottom w:val="nil"/>
              <w:right w:val="nil"/>
            </w:tcBorders>
            <w:shd w:val="clear" w:color="auto" w:fill="auto"/>
            <w:vAlign w:val="center"/>
            <w:hideMark/>
          </w:tcPr>
          <w:p w14:paraId="60FFC15D"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reservas</w:t>
            </w:r>
            <w:proofErr w:type="gramEnd"/>
          </w:p>
        </w:tc>
        <w:tc>
          <w:tcPr>
            <w:tcW w:w="1134" w:type="dxa"/>
            <w:tcBorders>
              <w:top w:val="nil"/>
              <w:left w:val="nil"/>
              <w:bottom w:val="nil"/>
              <w:right w:val="nil"/>
            </w:tcBorders>
            <w:shd w:val="clear" w:color="auto" w:fill="auto"/>
            <w:noWrap/>
            <w:vAlign w:val="center"/>
            <w:hideMark/>
          </w:tcPr>
          <w:p w14:paraId="4EA9F64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-0,0029828</w:t>
            </w:r>
          </w:p>
        </w:tc>
        <w:tc>
          <w:tcPr>
            <w:tcW w:w="1134" w:type="dxa"/>
            <w:tcBorders>
              <w:top w:val="nil"/>
              <w:left w:val="nil"/>
              <w:bottom w:val="nil"/>
              <w:right w:val="nil"/>
            </w:tcBorders>
            <w:shd w:val="clear" w:color="auto" w:fill="auto"/>
            <w:noWrap/>
            <w:vAlign w:val="center"/>
            <w:hideMark/>
          </w:tcPr>
          <w:p w14:paraId="695A1EC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0,02352</w:t>
            </w:r>
          </w:p>
        </w:tc>
        <w:tc>
          <w:tcPr>
            <w:tcW w:w="850" w:type="dxa"/>
            <w:tcBorders>
              <w:top w:val="nil"/>
              <w:left w:val="nil"/>
              <w:bottom w:val="nil"/>
              <w:right w:val="nil"/>
            </w:tcBorders>
            <w:shd w:val="clear" w:color="auto" w:fill="auto"/>
            <w:noWrap/>
            <w:vAlign w:val="center"/>
            <w:hideMark/>
          </w:tcPr>
          <w:p w14:paraId="415B33A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0,899</w:t>
            </w:r>
          </w:p>
        </w:tc>
      </w:tr>
      <w:tr w:rsidR="00EA563E" w:rsidRPr="00EA563E" w14:paraId="28903A42" w14:textId="77777777" w:rsidTr="00EA563E">
        <w:trPr>
          <w:trHeight w:val="300"/>
        </w:trPr>
        <w:tc>
          <w:tcPr>
            <w:tcW w:w="1290" w:type="dxa"/>
            <w:tcBorders>
              <w:top w:val="nil"/>
              <w:left w:val="nil"/>
              <w:bottom w:val="nil"/>
              <w:right w:val="nil"/>
            </w:tcBorders>
            <w:shd w:val="clear" w:color="auto" w:fill="auto"/>
            <w:vAlign w:val="center"/>
            <w:hideMark/>
          </w:tcPr>
          <w:p w14:paraId="4223CB71"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pib2005</w:t>
            </w:r>
            <w:proofErr w:type="gramEnd"/>
          </w:p>
        </w:tc>
        <w:tc>
          <w:tcPr>
            <w:tcW w:w="1299" w:type="dxa"/>
            <w:tcBorders>
              <w:top w:val="nil"/>
              <w:left w:val="nil"/>
              <w:bottom w:val="nil"/>
              <w:right w:val="nil"/>
            </w:tcBorders>
            <w:shd w:val="clear" w:color="auto" w:fill="auto"/>
            <w:noWrap/>
            <w:vAlign w:val="center"/>
            <w:hideMark/>
          </w:tcPr>
          <w:p w14:paraId="724096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-0,0308413</w:t>
            </w:r>
          </w:p>
        </w:tc>
        <w:tc>
          <w:tcPr>
            <w:tcW w:w="1001" w:type="dxa"/>
            <w:tcBorders>
              <w:top w:val="nil"/>
              <w:left w:val="nil"/>
              <w:bottom w:val="nil"/>
              <w:right w:val="nil"/>
            </w:tcBorders>
            <w:shd w:val="clear" w:color="auto" w:fill="auto"/>
            <w:noWrap/>
            <w:vAlign w:val="center"/>
            <w:hideMark/>
          </w:tcPr>
          <w:p w14:paraId="32DD6E2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0,1377007</w:t>
            </w:r>
          </w:p>
        </w:tc>
        <w:tc>
          <w:tcPr>
            <w:tcW w:w="1245" w:type="dxa"/>
            <w:tcBorders>
              <w:top w:val="nil"/>
              <w:left w:val="nil"/>
              <w:bottom w:val="nil"/>
              <w:right w:val="single" w:sz="4" w:space="0" w:color="auto"/>
            </w:tcBorders>
            <w:shd w:val="clear" w:color="auto" w:fill="auto"/>
            <w:noWrap/>
            <w:vAlign w:val="center"/>
            <w:hideMark/>
          </w:tcPr>
          <w:p w14:paraId="73D7A59B"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0,823</w:t>
            </w:r>
          </w:p>
        </w:tc>
        <w:tc>
          <w:tcPr>
            <w:tcW w:w="1276" w:type="dxa"/>
            <w:tcBorders>
              <w:top w:val="nil"/>
              <w:left w:val="nil"/>
              <w:bottom w:val="nil"/>
              <w:right w:val="nil"/>
            </w:tcBorders>
            <w:shd w:val="clear" w:color="auto" w:fill="auto"/>
            <w:vAlign w:val="center"/>
            <w:hideMark/>
          </w:tcPr>
          <w:p w14:paraId="32F92A8A"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reservas</w:t>
            </w:r>
            <w:proofErr w:type="gramEnd"/>
            <w:r w:rsidRPr="00EA563E">
              <w:rPr>
                <w:rFonts w:eastAsia="Times New Roman"/>
                <w:color w:val="000000"/>
                <w:sz w:val="20"/>
                <w:szCs w:val="20"/>
                <w:lang w:eastAsia="pt-BR"/>
              </w:rPr>
              <w:t>*crise</w:t>
            </w:r>
          </w:p>
        </w:tc>
        <w:tc>
          <w:tcPr>
            <w:tcW w:w="1134" w:type="dxa"/>
            <w:tcBorders>
              <w:top w:val="nil"/>
              <w:left w:val="nil"/>
              <w:bottom w:val="nil"/>
              <w:right w:val="nil"/>
            </w:tcBorders>
            <w:shd w:val="clear" w:color="auto" w:fill="auto"/>
            <w:noWrap/>
            <w:vAlign w:val="center"/>
            <w:hideMark/>
          </w:tcPr>
          <w:p w14:paraId="1BE1B41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0,0883266</w:t>
            </w:r>
          </w:p>
        </w:tc>
        <w:tc>
          <w:tcPr>
            <w:tcW w:w="1134" w:type="dxa"/>
            <w:tcBorders>
              <w:top w:val="nil"/>
              <w:left w:val="nil"/>
              <w:bottom w:val="nil"/>
              <w:right w:val="nil"/>
            </w:tcBorders>
            <w:shd w:val="clear" w:color="auto" w:fill="auto"/>
            <w:noWrap/>
            <w:vAlign w:val="center"/>
            <w:hideMark/>
          </w:tcPr>
          <w:p w14:paraId="3CC6CCE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0,0305843</w:t>
            </w:r>
          </w:p>
        </w:tc>
        <w:tc>
          <w:tcPr>
            <w:tcW w:w="850" w:type="dxa"/>
            <w:tcBorders>
              <w:top w:val="nil"/>
              <w:left w:val="nil"/>
              <w:bottom w:val="nil"/>
              <w:right w:val="nil"/>
            </w:tcBorders>
            <w:shd w:val="clear" w:color="auto" w:fill="auto"/>
            <w:noWrap/>
            <w:vAlign w:val="center"/>
            <w:hideMark/>
          </w:tcPr>
          <w:p w14:paraId="31AF2E4E"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0,004</w:t>
            </w:r>
          </w:p>
        </w:tc>
      </w:tr>
      <w:tr w:rsidR="00EA563E" w:rsidRPr="00EA563E" w14:paraId="7A834916" w14:textId="77777777" w:rsidTr="00EA563E">
        <w:trPr>
          <w:trHeight w:val="300"/>
        </w:trPr>
        <w:tc>
          <w:tcPr>
            <w:tcW w:w="1290" w:type="dxa"/>
            <w:tcBorders>
              <w:top w:val="nil"/>
              <w:left w:val="nil"/>
              <w:bottom w:val="nil"/>
              <w:right w:val="nil"/>
            </w:tcBorders>
            <w:shd w:val="clear" w:color="auto" w:fill="auto"/>
            <w:noWrap/>
            <w:vAlign w:val="center"/>
            <w:hideMark/>
          </w:tcPr>
          <w:p w14:paraId="4017BA3D" w14:textId="77777777" w:rsidR="00EA563E" w:rsidRPr="00EA563E" w:rsidRDefault="00EA563E" w:rsidP="00F82B07">
            <w:pPr>
              <w:spacing w:line="240" w:lineRule="auto"/>
              <w:rPr>
                <w:rFonts w:eastAsia="Times New Roman"/>
                <w:color w:val="000000"/>
                <w:sz w:val="20"/>
                <w:szCs w:val="20"/>
                <w:lang w:eastAsia="pt-BR"/>
              </w:rPr>
            </w:pPr>
            <w:proofErr w:type="spellStart"/>
            <w:proofErr w:type="gramStart"/>
            <w:r w:rsidRPr="00EA563E">
              <w:rPr>
                <w:rFonts w:eastAsia="Times New Roman"/>
                <w:color w:val="000000"/>
                <w:sz w:val="20"/>
                <w:szCs w:val="20"/>
                <w:lang w:eastAsia="pt-BR"/>
              </w:rPr>
              <w:t>jurosd</w:t>
            </w:r>
            <w:proofErr w:type="spellEnd"/>
            <w:proofErr w:type="gramEnd"/>
          </w:p>
        </w:tc>
        <w:tc>
          <w:tcPr>
            <w:tcW w:w="1299" w:type="dxa"/>
            <w:tcBorders>
              <w:top w:val="nil"/>
              <w:left w:val="nil"/>
              <w:bottom w:val="nil"/>
              <w:right w:val="nil"/>
            </w:tcBorders>
            <w:shd w:val="clear" w:color="auto" w:fill="auto"/>
            <w:noWrap/>
            <w:vAlign w:val="center"/>
            <w:hideMark/>
          </w:tcPr>
          <w:p w14:paraId="69507BD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-0,003772</w:t>
            </w:r>
          </w:p>
        </w:tc>
        <w:tc>
          <w:tcPr>
            <w:tcW w:w="1001" w:type="dxa"/>
            <w:tcBorders>
              <w:top w:val="nil"/>
              <w:left w:val="nil"/>
              <w:bottom w:val="nil"/>
              <w:right w:val="nil"/>
            </w:tcBorders>
            <w:shd w:val="clear" w:color="auto" w:fill="auto"/>
            <w:noWrap/>
            <w:vAlign w:val="center"/>
            <w:hideMark/>
          </w:tcPr>
          <w:p w14:paraId="4FABE47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0,0036612</w:t>
            </w:r>
          </w:p>
        </w:tc>
        <w:tc>
          <w:tcPr>
            <w:tcW w:w="1245" w:type="dxa"/>
            <w:tcBorders>
              <w:top w:val="nil"/>
              <w:left w:val="nil"/>
              <w:bottom w:val="nil"/>
              <w:right w:val="single" w:sz="4" w:space="0" w:color="auto"/>
            </w:tcBorders>
            <w:shd w:val="clear" w:color="auto" w:fill="auto"/>
            <w:noWrap/>
            <w:vAlign w:val="center"/>
            <w:hideMark/>
          </w:tcPr>
          <w:p w14:paraId="1068584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0,303</w:t>
            </w:r>
          </w:p>
        </w:tc>
        <w:tc>
          <w:tcPr>
            <w:tcW w:w="1276" w:type="dxa"/>
            <w:tcBorders>
              <w:top w:val="nil"/>
              <w:left w:val="nil"/>
              <w:bottom w:val="nil"/>
              <w:right w:val="nil"/>
            </w:tcBorders>
            <w:shd w:val="clear" w:color="auto" w:fill="auto"/>
            <w:vAlign w:val="center"/>
            <w:hideMark/>
          </w:tcPr>
          <w:p w14:paraId="0E0FC50F"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constante</w:t>
            </w:r>
            <w:proofErr w:type="gramEnd"/>
          </w:p>
        </w:tc>
        <w:tc>
          <w:tcPr>
            <w:tcW w:w="1134" w:type="dxa"/>
            <w:tcBorders>
              <w:top w:val="nil"/>
              <w:left w:val="nil"/>
              <w:bottom w:val="nil"/>
              <w:right w:val="nil"/>
            </w:tcBorders>
            <w:shd w:val="clear" w:color="auto" w:fill="auto"/>
            <w:noWrap/>
            <w:vAlign w:val="center"/>
            <w:hideMark/>
          </w:tcPr>
          <w:p w14:paraId="0E07907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0,1777672</w:t>
            </w:r>
          </w:p>
        </w:tc>
        <w:tc>
          <w:tcPr>
            <w:tcW w:w="1134" w:type="dxa"/>
            <w:tcBorders>
              <w:top w:val="nil"/>
              <w:left w:val="nil"/>
              <w:bottom w:val="nil"/>
              <w:right w:val="nil"/>
            </w:tcBorders>
            <w:shd w:val="clear" w:color="auto" w:fill="auto"/>
            <w:noWrap/>
            <w:vAlign w:val="center"/>
            <w:hideMark/>
          </w:tcPr>
          <w:p w14:paraId="533CF72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0,1010976</w:t>
            </w:r>
          </w:p>
        </w:tc>
        <w:tc>
          <w:tcPr>
            <w:tcW w:w="850" w:type="dxa"/>
            <w:tcBorders>
              <w:top w:val="nil"/>
              <w:left w:val="nil"/>
              <w:bottom w:val="nil"/>
              <w:right w:val="nil"/>
            </w:tcBorders>
            <w:shd w:val="clear" w:color="auto" w:fill="auto"/>
            <w:noWrap/>
            <w:vAlign w:val="center"/>
            <w:hideMark/>
          </w:tcPr>
          <w:p w14:paraId="64E32EB2"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0,079</w:t>
            </w:r>
          </w:p>
        </w:tc>
      </w:tr>
      <w:tr w:rsidR="00EA563E" w:rsidRPr="00EA563E" w14:paraId="4E948731" w14:textId="77777777" w:rsidTr="00EA563E">
        <w:trPr>
          <w:trHeight w:val="300"/>
        </w:trPr>
        <w:tc>
          <w:tcPr>
            <w:tcW w:w="1290" w:type="dxa"/>
            <w:tcBorders>
              <w:top w:val="nil"/>
              <w:left w:val="nil"/>
              <w:bottom w:val="single" w:sz="4" w:space="0" w:color="auto"/>
              <w:right w:val="nil"/>
            </w:tcBorders>
            <w:shd w:val="clear" w:color="auto" w:fill="auto"/>
            <w:vAlign w:val="center"/>
            <w:hideMark/>
          </w:tcPr>
          <w:p w14:paraId="1997DCD0" w14:textId="77777777" w:rsidR="00EA563E" w:rsidRPr="00EA563E" w:rsidRDefault="00EA563E" w:rsidP="00F82B07">
            <w:pPr>
              <w:spacing w:line="240" w:lineRule="auto"/>
              <w:rPr>
                <w:rFonts w:eastAsia="Times New Roman"/>
                <w:color w:val="000000"/>
                <w:sz w:val="20"/>
                <w:szCs w:val="20"/>
                <w:lang w:eastAsia="pt-BR"/>
              </w:rPr>
            </w:pPr>
            <w:proofErr w:type="gramStart"/>
            <w:r w:rsidRPr="00EA563E">
              <w:rPr>
                <w:rFonts w:eastAsia="Times New Roman"/>
                <w:color w:val="000000"/>
                <w:sz w:val="20"/>
                <w:szCs w:val="20"/>
                <w:lang w:eastAsia="pt-BR"/>
              </w:rPr>
              <w:t>cambio</w:t>
            </w:r>
            <w:proofErr w:type="gramEnd"/>
          </w:p>
        </w:tc>
        <w:tc>
          <w:tcPr>
            <w:tcW w:w="1299" w:type="dxa"/>
            <w:tcBorders>
              <w:top w:val="nil"/>
              <w:left w:val="nil"/>
              <w:bottom w:val="single" w:sz="4" w:space="0" w:color="auto"/>
              <w:right w:val="nil"/>
            </w:tcBorders>
            <w:shd w:val="clear" w:color="auto" w:fill="auto"/>
            <w:noWrap/>
            <w:vAlign w:val="center"/>
            <w:hideMark/>
          </w:tcPr>
          <w:p w14:paraId="71FEC8F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-0,000000233</w:t>
            </w:r>
          </w:p>
        </w:tc>
        <w:tc>
          <w:tcPr>
            <w:tcW w:w="1001" w:type="dxa"/>
            <w:tcBorders>
              <w:top w:val="nil"/>
              <w:left w:val="nil"/>
              <w:bottom w:val="single" w:sz="4" w:space="0" w:color="auto"/>
              <w:right w:val="nil"/>
            </w:tcBorders>
            <w:shd w:val="clear" w:color="auto" w:fill="auto"/>
            <w:noWrap/>
            <w:vAlign w:val="center"/>
            <w:hideMark/>
          </w:tcPr>
          <w:p w14:paraId="566F93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0,0000137</w:t>
            </w:r>
          </w:p>
        </w:tc>
        <w:tc>
          <w:tcPr>
            <w:tcW w:w="1245" w:type="dxa"/>
            <w:tcBorders>
              <w:top w:val="nil"/>
              <w:left w:val="nil"/>
              <w:bottom w:val="single" w:sz="4" w:space="0" w:color="auto"/>
              <w:right w:val="single" w:sz="4" w:space="0" w:color="auto"/>
            </w:tcBorders>
            <w:shd w:val="clear" w:color="auto" w:fill="auto"/>
            <w:noWrap/>
            <w:vAlign w:val="center"/>
            <w:hideMark/>
          </w:tcPr>
          <w:p w14:paraId="118AC4F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0,986</w:t>
            </w:r>
          </w:p>
        </w:tc>
        <w:tc>
          <w:tcPr>
            <w:tcW w:w="1276" w:type="dxa"/>
            <w:tcBorders>
              <w:top w:val="nil"/>
              <w:left w:val="nil"/>
              <w:bottom w:val="single" w:sz="4" w:space="0" w:color="auto"/>
              <w:right w:val="nil"/>
            </w:tcBorders>
            <w:shd w:val="clear" w:color="auto" w:fill="auto"/>
            <w:noWrap/>
            <w:vAlign w:val="center"/>
            <w:hideMark/>
          </w:tcPr>
          <w:p w14:paraId="13B1FCDD"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E3E5D50"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98E944A"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850" w:type="dxa"/>
            <w:tcBorders>
              <w:top w:val="nil"/>
              <w:left w:val="nil"/>
              <w:bottom w:val="single" w:sz="4" w:space="0" w:color="auto"/>
              <w:right w:val="nil"/>
            </w:tcBorders>
            <w:shd w:val="clear" w:color="auto" w:fill="auto"/>
            <w:noWrap/>
            <w:vAlign w:val="center"/>
            <w:hideMark/>
          </w:tcPr>
          <w:p w14:paraId="5DDBA6A2" w14:textId="77777777" w:rsidR="00EA563E" w:rsidRPr="00EA563E" w:rsidRDefault="00EA563E" w:rsidP="00F82B07">
            <w:pPr>
              <w:spacing w:line="240" w:lineRule="auto"/>
              <w:rPr>
                <w:rFonts w:ascii="Calibri" w:eastAsia="Times New Roman" w:hAnsi="Calibri"/>
                <w:color w:val="000000"/>
                <w:sz w:val="20"/>
                <w:szCs w:val="20"/>
                <w:lang w:eastAsia="pt-BR"/>
              </w:rPr>
            </w:pPr>
          </w:p>
        </w:tc>
      </w:tr>
    </w:tbl>
    <w:p w14:paraId="331343AF" w14:textId="77777777" w:rsidR="00EA563E" w:rsidRPr="000A0093" w:rsidRDefault="00EA563E" w:rsidP="00F82B07">
      <w:pPr>
        <w:spacing w:line="240" w:lineRule="auto"/>
        <w:rPr>
          <w:sz w:val="20"/>
          <w:szCs w:val="20"/>
        </w:rPr>
      </w:pPr>
      <w:r w:rsidRPr="000A0093">
        <w:rPr>
          <w:sz w:val="20"/>
          <w:szCs w:val="20"/>
        </w:rPr>
        <w:t xml:space="preserve">Fonte: elaboração própria a partir de resultados obtidos no </w:t>
      </w:r>
      <w:proofErr w:type="spellStart"/>
      <w:r w:rsidRPr="000A0093">
        <w:rPr>
          <w:sz w:val="20"/>
          <w:szCs w:val="20"/>
        </w:rPr>
        <w:t>Stata</w:t>
      </w:r>
      <w:proofErr w:type="spellEnd"/>
      <w:r w:rsidRPr="000A0093">
        <w:rPr>
          <w:sz w:val="20"/>
          <w:szCs w:val="20"/>
        </w:rPr>
        <w:t xml:space="preserve"> 12.</w:t>
      </w:r>
    </w:p>
    <w:p w14:paraId="05186519" w14:textId="77777777" w:rsidR="00740549" w:rsidRDefault="00740549" w:rsidP="00F82B07">
      <w:pPr>
        <w:spacing w:line="240" w:lineRule="auto"/>
      </w:pPr>
    </w:p>
    <w:p w14:paraId="13EB1F5D" w14:textId="77777777" w:rsidR="00134760" w:rsidRDefault="00554942" w:rsidP="00FC2664">
      <w:pPr>
        <w:spacing w:line="480" w:lineRule="auto"/>
        <w:ind w:firstLine="851"/>
      </w:pPr>
      <w:r>
        <w:t xml:space="preserve">Os dados </w:t>
      </w:r>
      <w:r w:rsidR="00456DC4" w:rsidRPr="000A0093">
        <w:t xml:space="preserve">reportam a significância estatística das combinações entre a </w:t>
      </w:r>
      <w:proofErr w:type="spellStart"/>
      <w:r w:rsidR="00456DC4" w:rsidRPr="000A0093">
        <w:rPr>
          <w:i/>
        </w:rPr>
        <w:t>dummy</w:t>
      </w:r>
      <w:proofErr w:type="spellEnd"/>
      <w:r w:rsidR="00456DC4" w:rsidRPr="000A0093">
        <w:t xml:space="preserve"> para crise com as variáveis </w:t>
      </w:r>
      <w:r w:rsidR="00456DC4" w:rsidRPr="000A0093">
        <w:rPr>
          <w:i/>
        </w:rPr>
        <w:t>reservas</w:t>
      </w:r>
      <w:r w:rsidR="00EA563E">
        <w:rPr>
          <w:i/>
        </w:rPr>
        <w:t xml:space="preserve">, </w:t>
      </w:r>
      <w:r w:rsidR="00EA563E">
        <w:t>a 5% de significância</w:t>
      </w:r>
      <w:r w:rsidR="00AE7025">
        <w:t>, positivamente,</w:t>
      </w:r>
      <w:r w:rsidR="00EA563E">
        <w:t xml:space="preserve"> e </w:t>
      </w:r>
      <w:proofErr w:type="spellStart"/>
      <w:r w:rsidR="00AE7025" w:rsidRPr="00AE7025">
        <w:rPr>
          <w:i/>
        </w:rPr>
        <w:t>tc</w:t>
      </w:r>
      <w:proofErr w:type="spellEnd"/>
      <w:r w:rsidR="00AE7025">
        <w:t xml:space="preserve"> a 10%, negativamente. O significado desses resultados é que, em momentos de crise, as reservas internacionais podem servir como atenuante</w:t>
      </w:r>
      <w:r w:rsidR="0054711C">
        <w:t xml:space="preserve">. Já o déficit em transações correntes, além de </w:t>
      </w:r>
      <w:r w:rsidR="0003278F">
        <w:t xml:space="preserve">afetar negativamente os fluxos de capitais ao longo do tempo, tem seu efeito negativo reforçado em momentos de crise. Embora não seja o foco dessa regressão, cabe ressaltar que mesmo nesse modelo em que há perda de graus de liberdade, as variáveis </w:t>
      </w:r>
      <w:proofErr w:type="spellStart"/>
      <w:r w:rsidR="0003278F" w:rsidRPr="0003278F">
        <w:rPr>
          <w:i/>
        </w:rPr>
        <w:t>vix</w:t>
      </w:r>
      <w:proofErr w:type="spellEnd"/>
      <w:r w:rsidR="0003278F">
        <w:t xml:space="preserve"> e </w:t>
      </w:r>
      <w:proofErr w:type="spellStart"/>
      <w:r w:rsidR="0003278F" w:rsidRPr="0003278F">
        <w:rPr>
          <w:i/>
        </w:rPr>
        <w:t>dowjones</w:t>
      </w:r>
      <w:proofErr w:type="spellEnd"/>
      <w:r w:rsidR="0003278F">
        <w:t xml:space="preserve"> mantiveram-se estatisticamente significativas a 5%.</w:t>
      </w:r>
    </w:p>
    <w:p w14:paraId="372E7CFF" w14:textId="4559D90C" w:rsidR="002D4AEC" w:rsidRPr="002D4AEC" w:rsidRDefault="002D4AEC" w:rsidP="00FC2664">
      <w:pPr>
        <w:spacing w:line="480" w:lineRule="auto"/>
        <w:ind w:firstLine="851"/>
      </w:pPr>
      <w:r w:rsidRPr="002D4AEC">
        <w:t xml:space="preserve">Além </w:t>
      </w:r>
      <w:r>
        <w:t xml:space="preserve">de </w:t>
      </w:r>
      <w:proofErr w:type="spellStart"/>
      <w:r w:rsidRPr="002D4AEC">
        <w:rPr>
          <w:i/>
        </w:rPr>
        <w:t>tc</w:t>
      </w:r>
      <w:proofErr w:type="spellEnd"/>
      <w:r>
        <w:t xml:space="preserve"> e </w:t>
      </w:r>
      <w:r w:rsidRPr="002D4AEC">
        <w:rPr>
          <w:i/>
        </w:rPr>
        <w:t>reservas</w:t>
      </w:r>
      <w:r w:rsidRPr="002D4AEC">
        <w:t xml:space="preserve">, foram testadas outras variáveis cuja não inclusão na equação </w:t>
      </w:r>
      <w:proofErr w:type="gramStart"/>
      <w:r w:rsidRPr="002D4AEC">
        <w:t>1</w:t>
      </w:r>
      <w:proofErr w:type="gramEnd"/>
      <w:r w:rsidRPr="002D4AEC">
        <w:t xml:space="preserve"> fora justificado na seção 3</w:t>
      </w:r>
      <w:r w:rsidR="007B51B1">
        <w:t xml:space="preserve"> e que também estão relacionadas com a vulnerabilidade interna/externa do país, quais sejam: taxa de inflação, endividamento interno sobre o PIB e dívida externa sobre exportações. Como em nenhuma combinação elas foram significativas ao se relacionar</w:t>
      </w:r>
      <w:r w:rsidR="009D60A1">
        <w:t>em</w:t>
      </w:r>
      <w:r w:rsidR="007B51B1">
        <w:t xml:space="preserve"> com a </w:t>
      </w:r>
      <w:proofErr w:type="spellStart"/>
      <w:r w:rsidR="007B51B1" w:rsidRPr="007B51B1">
        <w:rPr>
          <w:i/>
        </w:rPr>
        <w:t>dummy</w:t>
      </w:r>
      <w:proofErr w:type="spellEnd"/>
      <w:r w:rsidR="007B51B1">
        <w:t xml:space="preserve"> para crise, os resultados não foram reportados. </w:t>
      </w:r>
    </w:p>
    <w:p w14:paraId="3E1EFDDD" w14:textId="77777777" w:rsidR="0054711C" w:rsidRDefault="0054711C" w:rsidP="00FC2664">
      <w:pPr>
        <w:pStyle w:val="Ttulo2"/>
        <w:spacing w:before="0" w:line="480" w:lineRule="auto"/>
        <w:rPr>
          <w:color w:val="auto"/>
        </w:rPr>
      </w:pPr>
    </w:p>
    <w:p w14:paraId="45FDE146" w14:textId="77777777" w:rsidR="003C2252" w:rsidRDefault="003C2252" w:rsidP="00FC2664">
      <w:pPr>
        <w:pStyle w:val="Ttulo2"/>
        <w:spacing w:before="0" w:line="480" w:lineRule="auto"/>
        <w:rPr>
          <w:color w:val="auto"/>
        </w:rPr>
      </w:pPr>
      <w:r w:rsidRPr="000A0093">
        <w:rPr>
          <w:color w:val="auto"/>
        </w:rPr>
        <w:t>Considerações finais</w:t>
      </w:r>
    </w:p>
    <w:p w14:paraId="2CCBC2C8" w14:textId="740B1D34" w:rsidR="00A231B1" w:rsidRDefault="00ED56C5" w:rsidP="00EA1106">
      <w:pPr>
        <w:spacing w:line="480" w:lineRule="auto"/>
        <w:ind w:firstLine="851"/>
      </w:pPr>
      <w:r>
        <w:t>Keynes (19</w:t>
      </w:r>
      <w:r w:rsidR="009353CC">
        <w:t>83</w:t>
      </w:r>
      <w:r>
        <w:t xml:space="preserve">) mostrou como agentes privados racionais adotam comportamentos </w:t>
      </w:r>
      <w:r w:rsidR="00EA1106">
        <w:t xml:space="preserve">convencionais </w:t>
      </w:r>
      <w:r>
        <w:t xml:space="preserve">em condições de incerteza numa economia fechada. A atualização da sua análise para uma </w:t>
      </w:r>
      <w:r w:rsidR="00B95855">
        <w:t xml:space="preserve">economia aberta </w:t>
      </w:r>
      <w:r w:rsidR="00EA1106">
        <w:t xml:space="preserve">após o colapso do sistema de Bretton Woods </w:t>
      </w:r>
      <w:r>
        <w:t xml:space="preserve">fornece uma explicação para a </w:t>
      </w:r>
      <w:r w:rsidRPr="007515BA">
        <w:t>dinâmica</w:t>
      </w:r>
      <w:r>
        <w:t xml:space="preserve"> </w:t>
      </w:r>
      <w:r w:rsidRPr="007515BA">
        <w:t>volátil</w:t>
      </w:r>
      <w:r w:rsidRPr="00ED56C5">
        <w:t xml:space="preserve"> </w:t>
      </w:r>
      <w:r>
        <w:t>dos fluxos de capitais</w:t>
      </w:r>
      <w:r w:rsidRPr="00ED56C5">
        <w:t xml:space="preserve"> </w:t>
      </w:r>
      <w:r>
        <w:t>n</w:t>
      </w:r>
      <w:r w:rsidRPr="007515BA">
        <w:t>o SMI contemporâneo</w:t>
      </w:r>
      <w:r>
        <w:t>. As características d</w:t>
      </w:r>
      <w:r w:rsidR="00EA1106">
        <w:t>o SMI contemporâneo</w:t>
      </w:r>
      <w:r>
        <w:t xml:space="preserve"> (dólar fiduciário, regime de câmbio flutuante e livre mobilidade de capitais) result</w:t>
      </w:r>
      <w:r w:rsidR="00EA1106">
        <w:t xml:space="preserve">am numa incerteza estrutural em relação à evolução dos </w:t>
      </w:r>
      <w:r>
        <w:t>preços-chave da economia internacional (</w:t>
      </w:r>
      <w:r w:rsidR="00EA1106">
        <w:t>taxas de juros e de câmbio da divisa-chave). Nesse contexto, são frequentes as v</w:t>
      </w:r>
      <w:r w:rsidR="00A231B1">
        <w:t>ariações no grau de preferência pela liquidez</w:t>
      </w:r>
      <w:r w:rsidR="00443E27">
        <w:t xml:space="preserve"> </w:t>
      </w:r>
      <w:r>
        <w:t>dos agentes</w:t>
      </w:r>
      <w:r w:rsidR="00EA1106">
        <w:t xml:space="preserve"> privados, que, consequentemente se </w:t>
      </w:r>
      <w:r w:rsidR="00EA1106">
        <w:lastRenderedPageBreak/>
        <w:t xml:space="preserve">comportam de forma </w:t>
      </w:r>
      <w:r w:rsidR="00443E27">
        <w:t>mim</w:t>
      </w:r>
      <w:r w:rsidR="00EA1106">
        <w:t xml:space="preserve">ética, o que implica alta </w:t>
      </w:r>
      <w:r w:rsidR="00A231B1">
        <w:t xml:space="preserve">instabilidade </w:t>
      </w:r>
      <w:r w:rsidR="00EA1106">
        <w:t xml:space="preserve">nos fluxos de capitais </w:t>
      </w:r>
      <w:r w:rsidR="00A231B1">
        <w:t>internacionais.</w:t>
      </w:r>
      <w:r w:rsidR="00EA1106">
        <w:t xml:space="preserve"> Todavia, essa instabilidade é ainda mais acentuada</w:t>
      </w:r>
      <w:r w:rsidR="0021358D" w:rsidRPr="0021358D">
        <w:t xml:space="preserve"> </w:t>
      </w:r>
      <w:r w:rsidR="00EA1106">
        <w:t>no caso dos fluxos</w:t>
      </w:r>
      <w:r w:rsidR="0021358D" w:rsidRPr="0021358D">
        <w:t xml:space="preserve"> direcionad</w:t>
      </w:r>
      <w:r w:rsidR="00EA1106">
        <w:t>os aos países em desenvolvimento devido às</w:t>
      </w:r>
      <w:r w:rsidR="0021358D" w:rsidRPr="0021358D">
        <w:t xml:space="preserve"> assimetrias do SMFI contemporâneo. </w:t>
      </w:r>
      <w:r w:rsidR="00EA1106">
        <w:t>Como as moedas desses países não exerce</w:t>
      </w:r>
      <w:r w:rsidR="0021358D" w:rsidRPr="0021358D">
        <w:t>m as suas funções clássicas em âmbito internacional</w:t>
      </w:r>
      <w:r w:rsidR="00EA1106">
        <w:t xml:space="preserve">, </w:t>
      </w:r>
      <w:r w:rsidR="0021358D" w:rsidRPr="0021358D">
        <w:t>em momentos de incerteza e elevação da preferência pela liquidez</w:t>
      </w:r>
      <w:r w:rsidR="00EA1106">
        <w:t>, os capitais se direcionam para o</w:t>
      </w:r>
      <w:r w:rsidR="0021358D" w:rsidRPr="0021358D">
        <w:t xml:space="preserve"> país emissor da moeda-chave do sistema e</w:t>
      </w:r>
      <w:r w:rsidR="00EA1106">
        <w:t>,</w:t>
      </w:r>
      <w:r w:rsidR="0021358D" w:rsidRPr="0021358D">
        <w:t xml:space="preserve"> em menor grau, </w:t>
      </w:r>
      <w:r w:rsidR="00EA1106">
        <w:t xml:space="preserve">para os demais países </w:t>
      </w:r>
      <w:r w:rsidR="0021358D" w:rsidRPr="0021358D">
        <w:t xml:space="preserve">centrais. </w:t>
      </w:r>
      <w:r w:rsidR="006C6B32" w:rsidRPr="0021358D">
        <w:t>Por conseguinte</w:t>
      </w:r>
      <w:r w:rsidR="0021358D" w:rsidRPr="0021358D">
        <w:t>, os capitais podem sair dos países em desenvolvimento mesmo que não haja deterioração nos fun</w:t>
      </w:r>
      <w:r w:rsidR="0021358D">
        <w:t xml:space="preserve">damentos econômicos domésticos. </w:t>
      </w:r>
    </w:p>
    <w:p w14:paraId="1FFC41A2" w14:textId="1EA9BA30" w:rsidR="003A4D74" w:rsidRDefault="003A4D74" w:rsidP="00FC2664">
      <w:pPr>
        <w:spacing w:line="480" w:lineRule="auto"/>
        <w:ind w:firstLine="851"/>
      </w:pPr>
      <w:r>
        <w:t xml:space="preserve">Os testes econométricos realizados </w:t>
      </w:r>
      <w:r w:rsidR="002F3299">
        <w:t>corrobora</w:t>
      </w:r>
      <w:r w:rsidR="00480E6A">
        <w:t>ra</w:t>
      </w:r>
      <w:r w:rsidR="002F3299">
        <w:t xml:space="preserve">m </w:t>
      </w:r>
      <w:r w:rsidR="00480E6A">
        <w:t>vários aspectos destacados pela interpretação pós-</w:t>
      </w:r>
      <w:proofErr w:type="spellStart"/>
      <w:r w:rsidR="00480E6A">
        <w:t>keynesiana</w:t>
      </w:r>
      <w:proofErr w:type="spellEnd"/>
      <w:r w:rsidR="00480E6A">
        <w:t xml:space="preserve"> sintetizada</w:t>
      </w:r>
      <w:r w:rsidR="002F3299">
        <w:t xml:space="preserve">. </w:t>
      </w:r>
      <w:r w:rsidR="00620BCC">
        <w:t xml:space="preserve">O primeiro deles se refere à relação entre o grau de preferência por liquidez e a demanda por ativos dos países emissores de moedas periféricas. A variável </w:t>
      </w:r>
      <w:proofErr w:type="spellStart"/>
      <w:r w:rsidR="00620BCC" w:rsidRPr="00620BCC">
        <w:rPr>
          <w:i/>
        </w:rPr>
        <w:t>vix</w:t>
      </w:r>
      <w:proofErr w:type="spellEnd"/>
      <w:r w:rsidR="00620BCC">
        <w:t xml:space="preserve">, utilizada como </w:t>
      </w:r>
      <w:proofErr w:type="gramStart"/>
      <w:r w:rsidR="00620BCC" w:rsidRPr="00620BCC">
        <w:rPr>
          <w:i/>
        </w:rPr>
        <w:t>proxy</w:t>
      </w:r>
      <w:proofErr w:type="gramEnd"/>
      <w:r w:rsidR="00620BCC">
        <w:rPr>
          <w:i/>
        </w:rPr>
        <w:t xml:space="preserve"> </w:t>
      </w:r>
      <w:r w:rsidR="00620BCC">
        <w:t xml:space="preserve">para medir o grau de preferência global, se mostrou significativa conforme o esperado pela abordagem adotada. Ainda em relação ás expectativas, o crescimento do PIB mundial, o qual tende elevar o otimismo dos </w:t>
      </w:r>
      <w:r w:rsidR="00F37B24">
        <w:t>agentes privados globais</w:t>
      </w:r>
      <w:r w:rsidR="00620BCC">
        <w:t xml:space="preserve">, também </w:t>
      </w:r>
      <w:r w:rsidR="00452E95">
        <w:t>se mostrou</w:t>
      </w:r>
      <w:r w:rsidR="00620BCC">
        <w:t xml:space="preserve"> significativo. </w:t>
      </w:r>
      <w:r w:rsidR="0094543C">
        <w:t xml:space="preserve">Destarte, os resultados indicam que os fluxos de capitais para esse grupo de países </w:t>
      </w:r>
      <w:r w:rsidR="00C55A42">
        <w:t xml:space="preserve">possui um caráter mais especulativo e dependente da disposição ao risco desses </w:t>
      </w:r>
      <w:r w:rsidR="007F26A0">
        <w:t>agentes</w:t>
      </w:r>
      <w:r w:rsidR="00C55A42">
        <w:t xml:space="preserve">. </w:t>
      </w:r>
    </w:p>
    <w:p w14:paraId="2B6EA890" w14:textId="1476F6CE" w:rsidR="00620BCC" w:rsidRDefault="00620BCC" w:rsidP="00FC2664">
      <w:pPr>
        <w:spacing w:line="480" w:lineRule="auto"/>
        <w:ind w:firstLine="851"/>
      </w:pPr>
      <w:r>
        <w:t xml:space="preserve">Outro aspecto </w:t>
      </w:r>
      <w:r w:rsidR="00480E6A">
        <w:t>diz respeito</w:t>
      </w:r>
      <w:r>
        <w:t xml:space="preserve"> à significância estatística da taxa de juros do país emissor de moeda-chave. O comportamento da taxa básica de juros dos EUA apresentou uma relação inversa aos fluxos direcionados para os países </w:t>
      </w:r>
      <w:r w:rsidR="00E1579C">
        <w:t>em desenvolvimento</w:t>
      </w:r>
      <w:r>
        <w:t xml:space="preserve">. De forma análoga, a expectativa do desempenho do mercado acionário dos países desenvolvidos, cuja </w:t>
      </w:r>
      <w:proofErr w:type="gramStart"/>
      <w:r w:rsidRPr="00452E95">
        <w:rPr>
          <w:i/>
        </w:rPr>
        <w:t>proxy</w:t>
      </w:r>
      <w:proofErr w:type="gramEnd"/>
      <w:r>
        <w:t xml:space="preserve"> </w:t>
      </w:r>
      <w:r w:rsidR="00452E95">
        <w:t>utilizada foi</w:t>
      </w:r>
      <w:r>
        <w:t xml:space="preserve"> o índice </w:t>
      </w:r>
      <w:proofErr w:type="spellStart"/>
      <w:r>
        <w:t>Dowjones</w:t>
      </w:r>
      <w:proofErr w:type="spellEnd"/>
      <w:r>
        <w:t xml:space="preserve">, também </w:t>
      </w:r>
      <w:r w:rsidR="00480E6A">
        <w:t xml:space="preserve">se </w:t>
      </w:r>
      <w:r>
        <w:t xml:space="preserve">mostrou estatisticamente significativa e com impactos negativos aos fluxos de capitais para os países </w:t>
      </w:r>
      <w:r w:rsidR="00E1579C">
        <w:t>em desenvolvimento</w:t>
      </w:r>
      <w:r w:rsidR="00480E6A">
        <w:t>.</w:t>
      </w:r>
      <w:r>
        <w:t xml:space="preserve"> </w:t>
      </w:r>
    </w:p>
    <w:p w14:paraId="345184AE" w14:textId="3BA18516" w:rsidR="00BA62C0" w:rsidRPr="000A0093" w:rsidRDefault="00620BCC" w:rsidP="00BA62C0">
      <w:pPr>
        <w:spacing w:line="480" w:lineRule="auto"/>
        <w:ind w:firstLine="851"/>
      </w:pPr>
      <w:r>
        <w:t>Interessante observar que as variáveis internas do PIB</w:t>
      </w:r>
      <w:r w:rsidR="0006776C">
        <w:t xml:space="preserve"> e</w:t>
      </w:r>
      <w:r>
        <w:t xml:space="preserve"> taxa de juros não se mostraram significativas. </w:t>
      </w:r>
      <w:r w:rsidR="0006776C">
        <w:t>Em relação</w:t>
      </w:r>
      <w:r w:rsidR="0006776C" w:rsidRPr="000A0093">
        <w:t xml:space="preserve"> aos indicadores de solidez econômica</w:t>
      </w:r>
      <w:r w:rsidR="0006776C">
        <w:t>, apenas o déficit</w:t>
      </w:r>
      <w:r w:rsidR="00970C94">
        <w:t xml:space="preserve"> em transações </w:t>
      </w:r>
      <w:r w:rsidR="0006776C" w:rsidRPr="000A0093">
        <w:t xml:space="preserve">foi significativo. </w:t>
      </w:r>
      <w:r>
        <w:t xml:space="preserve">Essa combinação de variáveis exógenas serem </w:t>
      </w:r>
      <w:r w:rsidR="00EC2A69">
        <w:t>estatisticamente</w:t>
      </w:r>
      <w:r>
        <w:t xml:space="preserve"> significativas e</w:t>
      </w:r>
      <w:r w:rsidR="00017A76">
        <w:t>,</w:t>
      </w:r>
      <w:r>
        <w:t xml:space="preserve"> </w:t>
      </w:r>
      <w:r>
        <w:lastRenderedPageBreak/>
        <w:t xml:space="preserve">internas não serem, corrobora o argumento </w:t>
      </w:r>
      <w:r w:rsidR="00017A76">
        <w:t xml:space="preserve">dos determinantes externos se </w:t>
      </w:r>
      <w:r w:rsidR="00EC2A69">
        <w:t xml:space="preserve">sobrepujarem aos internos. </w:t>
      </w:r>
    </w:p>
    <w:p w14:paraId="365BDEE1" w14:textId="4FB2A28A" w:rsidR="0068437F" w:rsidRPr="000A0093" w:rsidRDefault="0068437F" w:rsidP="007E6ACB">
      <w:pPr>
        <w:spacing w:line="480" w:lineRule="auto"/>
        <w:ind w:firstLine="851"/>
      </w:pPr>
      <w:r w:rsidRPr="000A0093">
        <w:t>Também se realizaram regressões para verificar quais variáveis</w:t>
      </w:r>
      <w:r w:rsidR="005D2A51">
        <w:t xml:space="preserve"> classificadas como </w:t>
      </w:r>
      <w:proofErr w:type="spellStart"/>
      <w:r w:rsidR="005D2A51" w:rsidRPr="005D2A51">
        <w:rPr>
          <w:i/>
        </w:rPr>
        <w:t>pull-factors</w:t>
      </w:r>
      <w:proofErr w:type="spellEnd"/>
      <w:r w:rsidRPr="000A0093">
        <w:t xml:space="preserve">, em combinação com a </w:t>
      </w:r>
      <w:proofErr w:type="spellStart"/>
      <w:r w:rsidRPr="000A0093">
        <w:rPr>
          <w:i/>
        </w:rPr>
        <w:t>dummy</w:t>
      </w:r>
      <w:proofErr w:type="spellEnd"/>
      <w:r w:rsidRPr="000A0093">
        <w:t xml:space="preserve"> para as crises, afetariam a variável dependente. Após sucessivos testes, constatou-se que nos momentos de crise, </w:t>
      </w:r>
      <w:r w:rsidR="005D2A51">
        <w:t>a única variável significativa</w:t>
      </w:r>
      <w:r w:rsidRPr="000A0093">
        <w:t xml:space="preserve"> ao comportamento negativo dos fluxos de capitais para os países em desenvolvimento </w:t>
      </w:r>
      <w:r w:rsidR="005D2A51">
        <w:t xml:space="preserve">foi a </w:t>
      </w:r>
      <w:proofErr w:type="spellStart"/>
      <w:r w:rsidR="005D2A51" w:rsidRPr="005D2A51">
        <w:rPr>
          <w:i/>
        </w:rPr>
        <w:t>tc</w:t>
      </w:r>
      <w:proofErr w:type="spellEnd"/>
      <w:r w:rsidRPr="000A0093">
        <w:t xml:space="preserve">, já a </w:t>
      </w:r>
      <w:proofErr w:type="gramStart"/>
      <w:r w:rsidRPr="000A0093">
        <w:t xml:space="preserve">variável </w:t>
      </w:r>
      <w:r w:rsidRPr="000A0093">
        <w:rPr>
          <w:i/>
        </w:rPr>
        <w:t>reservas</w:t>
      </w:r>
      <w:proofErr w:type="gramEnd"/>
      <w:r w:rsidRPr="000A0093">
        <w:t xml:space="preserve"> serve de atenuante para as saídas dos capitais nos momentos de crise.</w:t>
      </w:r>
      <w:r w:rsidR="00004E01">
        <w:t xml:space="preserve"> </w:t>
      </w:r>
      <w:r w:rsidR="009D60A1">
        <w:t xml:space="preserve">Este resultado </w:t>
      </w:r>
      <w:r w:rsidR="00437AF8">
        <w:t xml:space="preserve">não </w:t>
      </w:r>
      <w:r w:rsidR="00970C94">
        <w:t>é suficiente para referendar</w:t>
      </w:r>
      <w:r w:rsidR="00437AF8">
        <w:t xml:space="preserve"> a política de acúmulo de reservas</w:t>
      </w:r>
      <w:r w:rsidR="00970C94">
        <w:t xml:space="preserve"> como um todo</w:t>
      </w:r>
      <w:r w:rsidR="00437AF8">
        <w:t xml:space="preserve">, </w:t>
      </w:r>
      <w:r w:rsidR="00970C94">
        <w:t>algo</w:t>
      </w:r>
      <w:r w:rsidR="00437AF8">
        <w:t xml:space="preserve"> que foge ao escopo do presente trabalho. Contudo, </w:t>
      </w:r>
      <w:r w:rsidR="00707423">
        <w:t>ele</w:t>
      </w:r>
      <w:r w:rsidR="00437AF8">
        <w:t xml:space="preserve"> aponta para adequação dessa estrat</w:t>
      </w:r>
      <w:r w:rsidR="00010A60">
        <w:t>égia no que tange</w:t>
      </w:r>
      <w:r w:rsidR="00437AF8">
        <w:t xml:space="preserve"> ao objetivo de amenizar </w:t>
      </w:r>
      <w:r w:rsidR="00975AC6">
        <w:t>as saídas líquidas dos</w:t>
      </w:r>
      <w:r w:rsidR="00437AF8">
        <w:t xml:space="preserve"> fluxos de capitais em momentos de crises. </w:t>
      </w:r>
    </w:p>
    <w:p w14:paraId="7D822524" w14:textId="77777777" w:rsidR="003C2252" w:rsidRPr="000A0093" w:rsidRDefault="003C2252" w:rsidP="00FC2664">
      <w:pPr>
        <w:spacing w:line="480" w:lineRule="auto"/>
        <w:ind w:firstLine="851"/>
        <w:rPr>
          <w:bCs/>
        </w:rPr>
      </w:pPr>
      <w:r w:rsidRPr="000A0093">
        <w:t xml:space="preserve">Ao se comparar com os trabalhos comentados na seção 1, os resultados encontrados neste </w:t>
      </w:r>
      <w:r w:rsidR="002D17D4" w:rsidRPr="000A0093">
        <w:t>artigo</w:t>
      </w:r>
      <w:r w:rsidRPr="000A0093">
        <w:t xml:space="preserve"> mostraram-se semelhantes </w:t>
      </w:r>
      <w:r w:rsidR="0037450C" w:rsidRPr="000A0093">
        <w:t>a</w:t>
      </w:r>
      <w:r w:rsidRPr="000A0093">
        <w:t xml:space="preserve">os obtidos por </w:t>
      </w:r>
      <w:r w:rsidRPr="000A0093">
        <w:rPr>
          <w:bCs/>
        </w:rPr>
        <w:t xml:space="preserve">Taylor e Sarno (1997), </w:t>
      </w:r>
      <w:proofErr w:type="spellStart"/>
      <w:r w:rsidRPr="000A0093">
        <w:t>Hoti</w:t>
      </w:r>
      <w:proofErr w:type="spellEnd"/>
      <w:r w:rsidRPr="000A0093">
        <w:t xml:space="preserve"> (2004), </w:t>
      </w:r>
      <w:proofErr w:type="spellStart"/>
      <w:r w:rsidRPr="000A0093">
        <w:t>Baeck</w:t>
      </w:r>
      <w:proofErr w:type="spellEnd"/>
      <w:r w:rsidRPr="000A0093">
        <w:t xml:space="preserve"> (2006), </w:t>
      </w:r>
      <w:r w:rsidRPr="000A0093">
        <w:rPr>
          <w:bCs/>
        </w:rPr>
        <w:t xml:space="preserve">Edison e </w:t>
      </w:r>
      <w:proofErr w:type="spellStart"/>
      <w:r w:rsidRPr="000A0093">
        <w:rPr>
          <w:bCs/>
        </w:rPr>
        <w:t>Warnock</w:t>
      </w:r>
      <w:proofErr w:type="spellEnd"/>
      <w:r w:rsidRPr="000A0093">
        <w:rPr>
          <w:bCs/>
        </w:rPr>
        <w:t xml:space="preserve"> (2008), </w:t>
      </w:r>
      <w:proofErr w:type="spellStart"/>
      <w:r w:rsidRPr="000A0093">
        <w:rPr>
          <w:bCs/>
        </w:rPr>
        <w:t>Brana</w:t>
      </w:r>
      <w:proofErr w:type="spellEnd"/>
      <w:r w:rsidRPr="000A0093">
        <w:rPr>
          <w:bCs/>
        </w:rPr>
        <w:t xml:space="preserve"> e </w:t>
      </w:r>
      <w:proofErr w:type="spellStart"/>
      <w:r w:rsidRPr="000A0093">
        <w:rPr>
          <w:bCs/>
        </w:rPr>
        <w:t>Lahet</w:t>
      </w:r>
      <w:proofErr w:type="spellEnd"/>
      <w:r w:rsidRPr="000A0093">
        <w:rPr>
          <w:bCs/>
        </w:rPr>
        <w:t xml:space="preserve"> (2010), </w:t>
      </w:r>
      <w:proofErr w:type="spellStart"/>
      <w:r w:rsidRPr="000A0093">
        <w:rPr>
          <w:bCs/>
        </w:rPr>
        <w:t>Atoyan</w:t>
      </w:r>
      <w:proofErr w:type="spellEnd"/>
      <w:r w:rsidRPr="000A0093">
        <w:rPr>
          <w:bCs/>
        </w:rPr>
        <w:t xml:space="preserve">, Jaeger e Smith (2012), Bruno e </w:t>
      </w:r>
      <w:proofErr w:type="spellStart"/>
      <w:r w:rsidRPr="000A0093">
        <w:rPr>
          <w:bCs/>
        </w:rPr>
        <w:t>Shin</w:t>
      </w:r>
      <w:proofErr w:type="spellEnd"/>
      <w:r w:rsidRPr="000A0093">
        <w:rPr>
          <w:bCs/>
        </w:rPr>
        <w:t xml:space="preserve"> (2013) e Ahmed e </w:t>
      </w:r>
      <w:proofErr w:type="spellStart"/>
      <w:r w:rsidRPr="000A0093">
        <w:rPr>
          <w:bCs/>
        </w:rPr>
        <w:t>Zlate</w:t>
      </w:r>
      <w:proofErr w:type="spellEnd"/>
      <w:r w:rsidRPr="000A0093">
        <w:rPr>
          <w:bCs/>
        </w:rPr>
        <w:t xml:space="preserve"> (2013), no sentido de ter encontrado significância estatística tanto dos </w:t>
      </w:r>
      <w:proofErr w:type="spellStart"/>
      <w:r w:rsidRPr="000A0093">
        <w:rPr>
          <w:bCs/>
          <w:i/>
        </w:rPr>
        <w:t>push</w:t>
      </w:r>
      <w:proofErr w:type="spellEnd"/>
      <w:r w:rsidRPr="000A0093">
        <w:rPr>
          <w:bCs/>
        </w:rPr>
        <w:t xml:space="preserve"> quanto dos </w:t>
      </w:r>
      <w:proofErr w:type="spellStart"/>
      <w:r w:rsidRPr="000A0093">
        <w:rPr>
          <w:bCs/>
          <w:i/>
        </w:rPr>
        <w:t>pull</w:t>
      </w:r>
      <w:proofErr w:type="spellEnd"/>
      <w:r w:rsidRPr="000A0093">
        <w:rPr>
          <w:bCs/>
          <w:i/>
        </w:rPr>
        <w:t xml:space="preserve"> </w:t>
      </w:r>
      <w:proofErr w:type="spellStart"/>
      <w:r w:rsidRPr="000A0093">
        <w:rPr>
          <w:bCs/>
          <w:i/>
        </w:rPr>
        <w:t>factors</w:t>
      </w:r>
      <w:proofErr w:type="spellEnd"/>
      <w:r w:rsidRPr="000A0093">
        <w:rPr>
          <w:bCs/>
        </w:rPr>
        <w:t>, mas com predominância dos primeiros sobre os segundos.</w:t>
      </w:r>
    </w:p>
    <w:p w14:paraId="04D7DA41" w14:textId="41D07359" w:rsidR="003C2252" w:rsidRDefault="003C2252" w:rsidP="00FC2664">
      <w:pPr>
        <w:spacing w:line="480" w:lineRule="auto"/>
        <w:ind w:firstLine="851"/>
        <w:rPr>
          <w:bCs/>
        </w:rPr>
      </w:pPr>
      <w:r w:rsidRPr="000A0093">
        <w:rPr>
          <w:bCs/>
        </w:rPr>
        <w:t>Deve-se, por fim, assinalar que a obtenção de resultados estatisticamente significativos para a variável VIX</w:t>
      </w:r>
      <w:r w:rsidR="0037450C" w:rsidRPr="000A0093">
        <w:rPr>
          <w:bCs/>
        </w:rPr>
        <w:t xml:space="preserve">, </w:t>
      </w:r>
      <w:proofErr w:type="gramStart"/>
      <w:r w:rsidR="0037450C" w:rsidRPr="000A0093">
        <w:rPr>
          <w:bCs/>
          <w:i/>
        </w:rPr>
        <w:t>proxy</w:t>
      </w:r>
      <w:proofErr w:type="gramEnd"/>
      <w:r w:rsidR="0037450C" w:rsidRPr="000A0093">
        <w:rPr>
          <w:bCs/>
        </w:rPr>
        <w:t xml:space="preserve"> da </w:t>
      </w:r>
      <w:r w:rsidR="00086DEC" w:rsidRPr="000A0093">
        <w:rPr>
          <w:bCs/>
        </w:rPr>
        <w:t xml:space="preserve">aversão ao risco e da </w:t>
      </w:r>
      <w:r w:rsidR="0037450C" w:rsidRPr="000A0093">
        <w:rPr>
          <w:bCs/>
        </w:rPr>
        <w:t xml:space="preserve">preferência pela liquidez em âmbito global, </w:t>
      </w:r>
      <w:r w:rsidRPr="000A0093">
        <w:rPr>
          <w:bCs/>
        </w:rPr>
        <w:t xml:space="preserve">corroborou os resultados obtidos pelos trabalhos de Bruno e </w:t>
      </w:r>
      <w:proofErr w:type="spellStart"/>
      <w:r w:rsidRPr="000A0093">
        <w:rPr>
          <w:bCs/>
        </w:rPr>
        <w:t>Shin</w:t>
      </w:r>
      <w:proofErr w:type="spellEnd"/>
      <w:r w:rsidRPr="000A0093">
        <w:rPr>
          <w:bCs/>
        </w:rPr>
        <w:t xml:space="preserve"> (2013)</w:t>
      </w:r>
      <w:r w:rsidR="006C0744" w:rsidRPr="000A0093">
        <w:rPr>
          <w:bCs/>
        </w:rPr>
        <w:t xml:space="preserve">, </w:t>
      </w:r>
      <w:r w:rsidRPr="000A0093">
        <w:rPr>
          <w:bCs/>
        </w:rPr>
        <w:t xml:space="preserve">Ahmed e </w:t>
      </w:r>
      <w:proofErr w:type="spellStart"/>
      <w:r w:rsidRPr="000A0093">
        <w:rPr>
          <w:bCs/>
        </w:rPr>
        <w:t>Zlate</w:t>
      </w:r>
      <w:proofErr w:type="spellEnd"/>
      <w:r w:rsidRPr="000A0093">
        <w:rPr>
          <w:bCs/>
        </w:rPr>
        <w:t xml:space="preserve"> (2013)</w:t>
      </w:r>
      <w:r w:rsidR="006C0744" w:rsidRPr="000A0093">
        <w:rPr>
          <w:bCs/>
        </w:rPr>
        <w:t xml:space="preserve"> e Rey (2013)</w:t>
      </w:r>
      <w:r w:rsidRPr="000A0093">
        <w:rPr>
          <w:bCs/>
        </w:rPr>
        <w:t xml:space="preserve">, sendo que os primeiros encontraram significância dessa variável para os fluxos de empréstimos internacionais (incluídos na subconta outros investimentos) e os segundos </w:t>
      </w:r>
      <w:r w:rsidR="002F77C5" w:rsidRPr="000A0093">
        <w:rPr>
          <w:bCs/>
        </w:rPr>
        <w:t xml:space="preserve">apenas </w:t>
      </w:r>
      <w:r w:rsidRPr="000A0093">
        <w:rPr>
          <w:bCs/>
        </w:rPr>
        <w:t xml:space="preserve">para a subconta investimento de portfólio, sendo que para a conta financeira como um todo se mostrou insignificante. Este </w:t>
      </w:r>
      <w:r w:rsidR="002D17D4" w:rsidRPr="000A0093">
        <w:rPr>
          <w:bCs/>
        </w:rPr>
        <w:t>artigo</w:t>
      </w:r>
      <w:r w:rsidRPr="000A0093">
        <w:rPr>
          <w:bCs/>
        </w:rPr>
        <w:t xml:space="preserve">, além de utilizá-la como variável determinante para a soma destas duas subcontas com a de derivativos, fez regressões com </w:t>
      </w:r>
      <w:r w:rsidR="00FA5488">
        <w:rPr>
          <w:bCs/>
        </w:rPr>
        <w:t>diferentes</w:t>
      </w:r>
      <w:r w:rsidRPr="000A0093">
        <w:rPr>
          <w:bCs/>
        </w:rPr>
        <w:t xml:space="preserve"> variáveis de controle. </w:t>
      </w:r>
      <w:r w:rsidR="0037450C" w:rsidRPr="000A0093">
        <w:rPr>
          <w:bCs/>
        </w:rPr>
        <w:t xml:space="preserve">Assim, esse resultado sugere que o grau de preferência pela liquidez dos investidores </w:t>
      </w:r>
      <w:r w:rsidR="00086DEC" w:rsidRPr="000A0093">
        <w:rPr>
          <w:bCs/>
        </w:rPr>
        <w:t xml:space="preserve">constitui um importante determinante da dinâmica dos fluxos financeiros no </w:t>
      </w:r>
      <w:r w:rsidR="001F196C" w:rsidRPr="000A0093">
        <w:rPr>
          <w:bCs/>
        </w:rPr>
        <w:t xml:space="preserve">sistema monetário e financeiro internacional </w:t>
      </w:r>
      <w:r w:rsidR="00004E01">
        <w:rPr>
          <w:bCs/>
        </w:rPr>
        <w:t>contemporâneo.</w:t>
      </w:r>
    </w:p>
    <w:p w14:paraId="67DCB2F9" w14:textId="4E1056FC" w:rsidR="00FE2649" w:rsidRDefault="00FE2649" w:rsidP="00FC2664">
      <w:pPr>
        <w:spacing w:line="480" w:lineRule="auto"/>
        <w:ind w:firstLine="851"/>
        <w:rPr>
          <w:bCs/>
        </w:rPr>
      </w:pPr>
      <w:r>
        <w:rPr>
          <w:bCs/>
        </w:rPr>
        <w:lastRenderedPageBreak/>
        <w:t>Como objetivo de pesquisa futura</w:t>
      </w:r>
      <w:r w:rsidR="005452D0">
        <w:rPr>
          <w:bCs/>
        </w:rPr>
        <w:t xml:space="preserve">, </w:t>
      </w:r>
      <w:r w:rsidR="00EC6ACC">
        <w:rPr>
          <w:bCs/>
        </w:rPr>
        <w:t>aspira</w:t>
      </w:r>
      <w:r w:rsidR="005452D0">
        <w:rPr>
          <w:bCs/>
        </w:rPr>
        <w:t xml:space="preserve">-se realizar estimações para o período pós-crise, visando </w:t>
      </w:r>
      <w:r w:rsidR="00EF4680">
        <w:rPr>
          <w:bCs/>
        </w:rPr>
        <w:t xml:space="preserve">comparar se houve mudanças nos determinantes dos fluxos de capitais direcionados para os países </w:t>
      </w:r>
      <w:r w:rsidR="00E1579C">
        <w:rPr>
          <w:bCs/>
        </w:rPr>
        <w:t>em desenvolvimento</w:t>
      </w:r>
      <w:r w:rsidR="00EF4680">
        <w:rPr>
          <w:bCs/>
        </w:rPr>
        <w:t xml:space="preserve">. </w:t>
      </w:r>
      <w:r w:rsidR="00EC6ACC">
        <w:rPr>
          <w:bCs/>
        </w:rPr>
        <w:t>Pretende-se ainda</w:t>
      </w:r>
      <w:r w:rsidR="005B7A11">
        <w:rPr>
          <w:bCs/>
        </w:rPr>
        <w:t xml:space="preserve"> testar diferentes </w:t>
      </w:r>
      <w:r w:rsidR="007E2AC9">
        <w:rPr>
          <w:bCs/>
        </w:rPr>
        <w:t>novas combinações de</w:t>
      </w:r>
      <w:r w:rsidR="005B7A11">
        <w:rPr>
          <w:bCs/>
        </w:rPr>
        <w:t xml:space="preserve"> variáveis explicativas. </w:t>
      </w:r>
    </w:p>
    <w:p w14:paraId="18CADF9D" w14:textId="77777777" w:rsidR="00F8563C" w:rsidRPr="000A0093" w:rsidRDefault="00F8563C" w:rsidP="00FC2664">
      <w:pPr>
        <w:spacing w:line="480" w:lineRule="auto"/>
        <w:ind w:firstLine="851"/>
        <w:rPr>
          <w:bCs/>
        </w:rPr>
      </w:pPr>
    </w:p>
    <w:p w14:paraId="39F145C1" w14:textId="77777777" w:rsidR="00497F32" w:rsidRPr="000A0093" w:rsidRDefault="00497F32" w:rsidP="00FC2664">
      <w:pPr>
        <w:pStyle w:val="Ttulo2"/>
        <w:spacing w:before="0" w:line="480" w:lineRule="auto"/>
        <w:rPr>
          <w:color w:val="auto"/>
          <w:lang w:val="en-US"/>
        </w:rPr>
      </w:pPr>
      <w:proofErr w:type="spellStart"/>
      <w:r w:rsidRPr="000A0093">
        <w:rPr>
          <w:color w:val="auto"/>
          <w:lang w:val="en-US"/>
        </w:rPr>
        <w:t>Referências</w:t>
      </w:r>
      <w:proofErr w:type="spellEnd"/>
      <w:r w:rsidRPr="000A0093">
        <w:rPr>
          <w:color w:val="auto"/>
          <w:lang w:val="en-US"/>
        </w:rPr>
        <w:t xml:space="preserve"> </w:t>
      </w:r>
      <w:proofErr w:type="spellStart"/>
      <w:r w:rsidRPr="000A0093">
        <w:rPr>
          <w:color w:val="auto"/>
          <w:lang w:val="en-US"/>
        </w:rPr>
        <w:t>Bibliográficas</w:t>
      </w:r>
      <w:proofErr w:type="spellEnd"/>
    </w:p>
    <w:p w14:paraId="3B7A7FB0" w14:textId="77777777" w:rsidR="005238AE" w:rsidRDefault="005238AE" w:rsidP="005238AE">
      <w:pPr>
        <w:spacing w:line="240" w:lineRule="auto"/>
        <w:ind w:left="851" w:hanging="851"/>
        <w:rPr>
          <w:bCs/>
          <w:u w:val="single"/>
        </w:rPr>
      </w:pPr>
      <w:r w:rsidRPr="005238AE">
        <w:rPr>
          <w:bCs/>
          <w:lang w:val="en-US"/>
        </w:rPr>
        <w:t xml:space="preserve">AHMED, S &amp; ZLATE, A. </w:t>
      </w:r>
      <w:r w:rsidRPr="005238AE">
        <w:rPr>
          <w:bCs/>
          <w:i/>
          <w:lang w:val="en-US"/>
        </w:rPr>
        <w:t xml:space="preserve">Capital flows to emerging market economies: a brave new world? Board of governors of the </w:t>
      </w:r>
      <w:proofErr w:type="gramStart"/>
      <w:r w:rsidRPr="005238AE">
        <w:rPr>
          <w:bCs/>
          <w:i/>
          <w:lang w:val="en-US"/>
        </w:rPr>
        <w:t>federal reserve system</w:t>
      </w:r>
      <w:proofErr w:type="gramEnd"/>
      <w:r w:rsidRPr="005238AE">
        <w:rPr>
          <w:bCs/>
          <w:lang w:val="en-US"/>
        </w:rPr>
        <w:t xml:space="preserve">. </w:t>
      </w:r>
      <w:proofErr w:type="gramStart"/>
      <w:r w:rsidRPr="005238AE">
        <w:rPr>
          <w:bCs/>
          <w:lang w:val="en-US"/>
        </w:rPr>
        <w:t>International Finance Discussion.</w:t>
      </w:r>
      <w:proofErr w:type="gramEnd"/>
      <w:r w:rsidRPr="005238AE">
        <w:rPr>
          <w:bCs/>
          <w:lang w:val="en-US"/>
        </w:rPr>
        <w:t xml:space="preserve"> </w:t>
      </w:r>
      <w:proofErr w:type="spellStart"/>
      <w:r w:rsidRPr="005238AE">
        <w:rPr>
          <w:bCs/>
        </w:rPr>
        <w:t>Papers</w:t>
      </w:r>
      <w:proofErr w:type="spellEnd"/>
      <w:r w:rsidRPr="005238AE">
        <w:rPr>
          <w:bCs/>
        </w:rPr>
        <w:t xml:space="preserve"> </w:t>
      </w:r>
      <w:proofErr w:type="spellStart"/>
      <w:r w:rsidRPr="005238AE">
        <w:rPr>
          <w:bCs/>
        </w:rPr>
        <w:t>Number</w:t>
      </w:r>
      <w:proofErr w:type="spellEnd"/>
      <w:r w:rsidRPr="005238AE">
        <w:rPr>
          <w:bCs/>
        </w:rPr>
        <w:t xml:space="preserve"> 1081 </w:t>
      </w:r>
      <w:proofErr w:type="spellStart"/>
      <w:r w:rsidRPr="005238AE">
        <w:rPr>
          <w:bCs/>
        </w:rPr>
        <w:t>June</w:t>
      </w:r>
      <w:proofErr w:type="spellEnd"/>
      <w:r w:rsidRPr="005238AE">
        <w:rPr>
          <w:bCs/>
        </w:rPr>
        <w:t xml:space="preserve"> 2013. Disponível em: </w:t>
      </w:r>
      <w:hyperlink r:id="rId9" w:history="1">
        <w:r w:rsidRPr="005238AE">
          <w:rPr>
            <w:bCs/>
            <w:u w:val="single"/>
          </w:rPr>
          <w:t>http://www.federalreserve.gov</w:t>
        </w:r>
      </w:hyperlink>
    </w:p>
    <w:p w14:paraId="44044CA9" w14:textId="77777777" w:rsidR="004B0B8A" w:rsidRPr="004B0B8A" w:rsidRDefault="004B0B8A" w:rsidP="004B0B8A">
      <w:pPr>
        <w:spacing w:line="240" w:lineRule="auto"/>
        <w:ind w:left="851" w:hanging="851"/>
        <w:rPr>
          <w:bCs/>
          <w:lang w:val="en-US"/>
        </w:rPr>
      </w:pPr>
      <w:proofErr w:type="gramStart"/>
      <w:r w:rsidRPr="004B0B8A">
        <w:rPr>
          <w:bCs/>
          <w:lang w:val="en-US"/>
        </w:rPr>
        <w:t>AIZENMAN, J.; LEE, Y. &amp; SUSHKO, V., 2010.</w:t>
      </w:r>
      <w:proofErr w:type="gramEnd"/>
      <w:r w:rsidRPr="004B0B8A">
        <w:rPr>
          <w:bCs/>
          <w:lang w:val="en-US"/>
        </w:rPr>
        <w:t xml:space="preserve"> </w:t>
      </w:r>
      <w:hyperlink r:id="rId10" w:history="1">
        <w:r w:rsidRPr="004B0B8A">
          <w:rPr>
            <w:rStyle w:val="Hyperlink"/>
            <w:bCs/>
            <w:i/>
            <w:color w:val="auto"/>
            <w:u w:val="none"/>
            <w:lang w:val="en-US"/>
          </w:rPr>
          <w:t>From the Great Moderation to the global crisis: Exchange market pressure in the 2000s</w:t>
        </w:r>
      </w:hyperlink>
      <w:r w:rsidRPr="004B0B8A">
        <w:rPr>
          <w:bCs/>
          <w:lang w:val="en-US"/>
        </w:rPr>
        <w:t>, </w:t>
      </w:r>
      <w:hyperlink r:id="rId11" w:history="1">
        <w:r w:rsidRPr="004B0B8A">
          <w:rPr>
            <w:rStyle w:val="Hyperlink"/>
            <w:bCs/>
            <w:color w:val="auto"/>
            <w:u w:val="none"/>
            <w:lang w:val="en-US"/>
          </w:rPr>
          <w:t>Santa Cruz Department of Economics, Working Paper Series</w:t>
        </w:r>
      </w:hyperlink>
      <w:r w:rsidRPr="004B0B8A">
        <w:rPr>
          <w:bCs/>
          <w:lang w:val="en-US"/>
        </w:rPr>
        <w:t> qt8c75z2pt, Department of Economics, UC Santa Cruz.</w:t>
      </w:r>
    </w:p>
    <w:p w14:paraId="4358149C" w14:textId="77777777" w:rsidR="004B0B8A" w:rsidRPr="004B0B8A" w:rsidRDefault="004B0B8A" w:rsidP="004B0B8A">
      <w:pPr>
        <w:spacing w:line="240" w:lineRule="auto"/>
        <w:ind w:left="851" w:hanging="851"/>
        <w:rPr>
          <w:bCs/>
          <w:lang w:val="en-US"/>
        </w:rPr>
      </w:pPr>
      <w:proofErr w:type="gramStart"/>
      <w:r w:rsidRPr="004B0B8A">
        <w:rPr>
          <w:bCs/>
          <w:lang w:val="en-US"/>
        </w:rPr>
        <w:t>AIZENMAN, J. &amp; LEE, Y 2006.</w:t>
      </w:r>
      <w:proofErr w:type="gramEnd"/>
      <w:r w:rsidRPr="004B0B8A">
        <w:rPr>
          <w:bCs/>
          <w:lang w:val="en-US"/>
        </w:rPr>
        <w:t xml:space="preserve"> </w:t>
      </w:r>
      <w:hyperlink r:id="rId12" w:history="1">
        <w:r w:rsidRPr="004B0B8A">
          <w:rPr>
            <w:rStyle w:val="Hyperlink"/>
            <w:bCs/>
            <w:i/>
            <w:color w:val="auto"/>
            <w:u w:val="none"/>
            <w:lang w:val="en-US"/>
          </w:rPr>
          <w:t xml:space="preserve">Financial </w:t>
        </w:r>
        <w:proofErr w:type="gramStart"/>
        <w:r w:rsidRPr="004B0B8A">
          <w:rPr>
            <w:rStyle w:val="Hyperlink"/>
            <w:bCs/>
            <w:i/>
            <w:color w:val="auto"/>
            <w:u w:val="none"/>
            <w:lang w:val="en-US"/>
          </w:rPr>
          <w:t>Versus</w:t>
        </w:r>
        <w:proofErr w:type="gramEnd"/>
        <w:r w:rsidRPr="004B0B8A">
          <w:rPr>
            <w:rStyle w:val="Hyperlink"/>
            <w:bCs/>
            <w:i/>
            <w:color w:val="auto"/>
            <w:u w:val="none"/>
            <w:lang w:val="en-US"/>
          </w:rPr>
          <w:t xml:space="preserve"> Monetary Mercantilism-Long-run View of Large International Reserves Hoarding</w:t>
        </w:r>
      </w:hyperlink>
      <w:r w:rsidRPr="004B0B8A">
        <w:rPr>
          <w:bCs/>
          <w:lang w:val="en-US"/>
        </w:rPr>
        <w:t xml:space="preserve">, </w:t>
      </w:r>
      <w:hyperlink r:id="rId13" w:history="1">
        <w:r w:rsidRPr="004B0B8A">
          <w:rPr>
            <w:rStyle w:val="Hyperlink"/>
            <w:bCs/>
            <w:color w:val="auto"/>
            <w:u w:val="none"/>
            <w:lang w:val="en-US"/>
          </w:rPr>
          <w:t>NBER Working Papers</w:t>
        </w:r>
      </w:hyperlink>
      <w:r w:rsidRPr="004B0B8A">
        <w:rPr>
          <w:bCs/>
          <w:lang w:val="en-US"/>
        </w:rPr>
        <w:t> 12718, National Bureau of Economic Research, Inc.</w:t>
      </w:r>
    </w:p>
    <w:p w14:paraId="6581592E" w14:textId="77777777" w:rsidR="005238AE" w:rsidRPr="005238AE" w:rsidRDefault="005238AE" w:rsidP="005238AE">
      <w:pPr>
        <w:spacing w:line="240" w:lineRule="auto"/>
        <w:ind w:left="851" w:hanging="851"/>
        <w:rPr>
          <w:bCs/>
        </w:rPr>
      </w:pPr>
      <w:r w:rsidRPr="005238AE">
        <w:rPr>
          <w:bCs/>
        </w:rPr>
        <w:t xml:space="preserve">AMADO, A.M. </w:t>
      </w:r>
      <w:proofErr w:type="spellStart"/>
      <w:r w:rsidRPr="005238AE">
        <w:rPr>
          <w:bCs/>
        </w:rPr>
        <w:t>Minsky</w:t>
      </w:r>
      <w:proofErr w:type="spellEnd"/>
      <w:r w:rsidRPr="005238AE">
        <w:rPr>
          <w:bCs/>
        </w:rPr>
        <w:t xml:space="preserve"> e o ciclo econômico: uma análise para economias periféricas.  In: Encontro de Economia Política, </w:t>
      </w:r>
      <w:proofErr w:type="gramStart"/>
      <w:r w:rsidRPr="005238AE">
        <w:rPr>
          <w:bCs/>
        </w:rPr>
        <w:t>8</w:t>
      </w:r>
      <w:proofErr w:type="gramEnd"/>
      <w:r w:rsidRPr="005238AE">
        <w:rPr>
          <w:bCs/>
        </w:rPr>
        <w:t>., 2003, Florianópolis. Anais. Florianópolis: Sociedade Brasileira de Economia Política, 2003.</w:t>
      </w:r>
    </w:p>
    <w:p w14:paraId="2E47162D" w14:textId="77777777" w:rsidR="005238AE" w:rsidRPr="005238AE" w:rsidRDefault="005238AE" w:rsidP="005238AE">
      <w:pPr>
        <w:spacing w:line="240" w:lineRule="auto"/>
        <w:ind w:left="851" w:hanging="851"/>
        <w:rPr>
          <w:bCs/>
        </w:rPr>
      </w:pPr>
      <w:r w:rsidRPr="005238AE">
        <w:rPr>
          <w:bCs/>
          <w:lang w:val="en-GB"/>
        </w:rPr>
        <w:t>ANDRADE</w:t>
      </w:r>
      <w:r w:rsidRPr="005238AE">
        <w:rPr>
          <w:bCs/>
          <w:lang w:val="en-US"/>
        </w:rPr>
        <w:t xml:space="preserve">, R. &amp; PRATES, </w:t>
      </w:r>
      <w:r w:rsidRPr="005238AE">
        <w:rPr>
          <w:bCs/>
          <w:lang w:val="en-GB"/>
        </w:rPr>
        <w:t>D.M. (2012</w:t>
      </w:r>
      <w:proofErr w:type="gramStart"/>
      <w:r w:rsidRPr="005238AE">
        <w:rPr>
          <w:bCs/>
          <w:lang w:val="en-GB"/>
        </w:rPr>
        <w:t xml:space="preserve">) </w:t>
      </w:r>
      <w:r w:rsidRPr="005238AE">
        <w:rPr>
          <w:bCs/>
        </w:rPr>
        <w:t xml:space="preserve"> Dinâmica</w:t>
      </w:r>
      <w:proofErr w:type="gramEnd"/>
      <w:r w:rsidRPr="005238AE">
        <w:rPr>
          <w:bCs/>
        </w:rPr>
        <w:t xml:space="preserve"> da taxa de câmbio em uma economia monetária periférica: uma abordagem </w:t>
      </w:r>
      <w:proofErr w:type="spellStart"/>
      <w:r w:rsidRPr="005238AE">
        <w:rPr>
          <w:bCs/>
        </w:rPr>
        <w:t>Keynesiana</w:t>
      </w:r>
      <w:proofErr w:type="spellEnd"/>
      <w:r w:rsidRPr="005238AE">
        <w:rPr>
          <w:bCs/>
        </w:rPr>
        <w:t>. Nova Economia (UFMG. Impresso), v. 22, p. 235-257, 2012.</w:t>
      </w:r>
    </w:p>
    <w:p w14:paraId="782A755D" w14:textId="77777777" w:rsidR="005238AE" w:rsidRPr="005238AE" w:rsidRDefault="005238AE" w:rsidP="005238AE">
      <w:pPr>
        <w:spacing w:line="240" w:lineRule="auto"/>
        <w:ind w:left="851" w:hanging="851"/>
        <w:rPr>
          <w:bCs/>
          <w:lang w:val="en-US"/>
        </w:rPr>
      </w:pPr>
      <w:r w:rsidRPr="005238AE">
        <w:rPr>
          <w:bCs/>
        </w:rPr>
        <w:t xml:space="preserve">ARELLANO, M. &amp; BOND, S. 1991. </w:t>
      </w:r>
      <w:r w:rsidRPr="005238AE">
        <w:rPr>
          <w:bCs/>
          <w:i/>
          <w:lang w:val="en-US"/>
        </w:rPr>
        <w:t>Some tests of specification for panel data: Monte Carlo evidence and an application to employment equations</w:t>
      </w:r>
      <w:r w:rsidRPr="005238AE">
        <w:rPr>
          <w:bCs/>
          <w:lang w:val="en-US"/>
        </w:rPr>
        <w:t>. Review of Economic Studies 58: 277-97.</w:t>
      </w:r>
    </w:p>
    <w:p w14:paraId="0FE579C2" w14:textId="77777777" w:rsidR="005238AE" w:rsidRPr="005238AE" w:rsidRDefault="005238AE" w:rsidP="005238AE">
      <w:pPr>
        <w:spacing w:line="240" w:lineRule="auto"/>
        <w:ind w:left="851" w:hanging="851"/>
        <w:rPr>
          <w:bCs/>
          <w:lang w:val="en-US"/>
        </w:rPr>
      </w:pPr>
      <w:r w:rsidRPr="005238AE">
        <w:rPr>
          <w:bCs/>
        </w:rPr>
        <w:t xml:space="preserve">ARELLANO, M., &amp; O. BOVER. 1995. </w:t>
      </w:r>
      <w:proofErr w:type="spellStart"/>
      <w:r w:rsidRPr="005238AE">
        <w:rPr>
          <w:bCs/>
          <w:i/>
        </w:rPr>
        <w:t>Another</w:t>
      </w:r>
      <w:proofErr w:type="spellEnd"/>
      <w:r w:rsidRPr="005238AE">
        <w:rPr>
          <w:bCs/>
          <w:i/>
        </w:rPr>
        <w:t xml:space="preserve"> look </w:t>
      </w:r>
      <w:proofErr w:type="spellStart"/>
      <w:r w:rsidRPr="005238AE">
        <w:rPr>
          <w:bCs/>
          <w:i/>
        </w:rPr>
        <w:t>at</w:t>
      </w:r>
      <w:proofErr w:type="spellEnd"/>
      <w:r w:rsidRPr="005238AE">
        <w:rPr>
          <w:bCs/>
          <w:i/>
        </w:rPr>
        <w:t xml:space="preserve"> </w:t>
      </w:r>
      <w:proofErr w:type="spellStart"/>
      <w:r w:rsidRPr="005238AE">
        <w:rPr>
          <w:bCs/>
          <w:i/>
        </w:rPr>
        <w:t>the</w:t>
      </w:r>
      <w:proofErr w:type="spellEnd"/>
      <w:r w:rsidRPr="005238AE">
        <w:rPr>
          <w:bCs/>
          <w:i/>
        </w:rPr>
        <w:t xml:space="preserve"> instrumental </w:t>
      </w:r>
      <w:proofErr w:type="spellStart"/>
      <w:r w:rsidRPr="005238AE">
        <w:rPr>
          <w:bCs/>
          <w:i/>
        </w:rPr>
        <w:t>variable</w:t>
      </w:r>
      <w:proofErr w:type="spellEnd"/>
      <w:r w:rsidRPr="005238AE">
        <w:rPr>
          <w:bCs/>
          <w:i/>
        </w:rPr>
        <w:t xml:space="preserve"> </w:t>
      </w:r>
      <w:proofErr w:type="spellStart"/>
      <w:r w:rsidRPr="005238AE">
        <w:rPr>
          <w:bCs/>
          <w:i/>
        </w:rPr>
        <w:t>estimation</w:t>
      </w:r>
      <w:proofErr w:type="spellEnd"/>
      <w:r w:rsidRPr="005238AE">
        <w:rPr>
          <w:bCs/>
          <w:i/>
        </w:rPr>
        <w:t xml:space="preserve"> </w:t>
      </w:r>
      <w:proofErr w:type="spellStart"/>
      <w:r w:rsidRPr="005238AE">
        <w:rPr>
          <w:bCs/>
          <w:i/>
        </w:rPr>
        <w:t>of</w:t>
      </w:r>
      <w:proofErr w:type="spellEnd"/>
      <w:r w:rsidRPr="005238AE">
        <w:rPr>
          <w:bCs/>
          <w:i/>
        </w:rPr>
        <w:t xml:space="preserve"> </w:t>
      </w:r>
      <w:proofErr w:type="spellStart"/>
      <w:r w:rsidRPr="005238AE">
        <w:rPr>
          <w:bCs/>
          <w:i/>
        </w:rPr>
        <w:t>error-components</w:t>
      </w:r>
      <w:proofErr w:type="spellEnd"/>
      <w:r w:rsidRPr="005238AE">
        <w:rPr>
          <w:bCs/>
          <w:i/>
        </w:rPr>
        <w:t xml:space="preserve"> </w:t>
      </w:r>
      <w:proofErr w:type="spellStart"/>
      <w:r w:rsidRPr="005238AE">
        <w:rPr>
          <w:bCs/>
          <w:i/>
        </w:rPr>
        <w:t>models</w:t>
      </w:r>
      <w:proofErr w:type="spellEnd"/>
      <w:r w:rsidRPr="005238AE">
        <w:rPr>
          <w:bCs/>
        </w:rPr>
        <w:t xml:space="preserve">. </w:t>
      </w:r>
      <w:proofErr w:type="spellStart"/>
      <w:r w:rsidRPr="005238AE">
        <w:rPr>
          <w:bCs/>
        </w:rPr>
        <w:t>Journal</w:t>
      </w:r>
      <w:proofErr w:type="spellEnd"/>
      <w:r w:rsidRPr="005238AE">
        <w:rPr>
          <w:bCs/>
        </w:rPr>
        <w:t xml:space="preserve"> </w:t>
      </w:r>
      <w:proofErr w:type="spellStart"/>
      <w:r w:rsidRPr="005238AE">
        <w:rPr>
          <w:bCs/>
        </w:rPr>
        <w:t>of</w:t>
      </w:r>
      <w:proofErr w:type="spellEnd"/>
      <w:r w:rsidRPr="005238AE">
        <w:rPr>
          <w:bCs/>
        </w:rPr>
        <w:t xml:space="preserve"> </w:t>
      </w:r>
      <w:proofErr w:type="spellStart"/>
      <w:r w:rsidRPr="005238AE">
        <w:rPr>
          <w:bCs/>
        </w:rPr>
        <w:t>Econometrics</w:t>
      </w:r>
      <w:proofErr w:type="spellEnd"/>
      <w:r w:rsidRPr="005238AE">
        <w:rPr>
          <w:bCs/>
        </w:rPr>
        <w:t xml:space="preserve"> 68: 29–51</w:t>
      </w:r>
    </w:p>
    <w:p w14:paraId="717CBC73" w14:textId="77777777" w:rsidR="005238AE" w:rsidRPr="005238AE" w:rsidRDefault="005238AE" w:rsidP="005238AE">
      <w:pPr>
        <w:spacing w:line="240" w:lineRule="auto"/>
        <w:ind w:left="851" w:hanging="851"/>
        <w:rPr>
          <w:bCs/>
          <w:lang w:val="en-US"/>
        </w:rPr>
      </w:pPr>
      <w:proofErr w:type="gramStart"/>
      <w:r w:rsidRPr="005238AE">
        <w:rPr>
          <w:bCs/>
          <w:lang w:val="en-US"/>
        </w:rPr>
        <w:t>ATOYAN, R.; JAEGER A. &amp; SMITH, D. (2012).</w:t>
      </w:r>
      <w:proofErr w:type="gramEnd"/>
      <w:r w:rsidRPr="005238AE">
        <w:rPr>
          <w:bCs/>
          <w:lang w:val="en-US"/>
        </w:rPr>
        <w:t xml:space="preserve"> </w:t>
      </w:r>
      <w:r w:rsidRPr="005238AE">
        <w:rPr>
          <w:bCs/>
          <w:i/>
          <w:lang w:val="en-US"/>
        </w:rPr>
        <w:t>The Pre-Crisis Capital Flow Surge to Emerging Europe: Did Countercyclical Fiscal Policy Make a Difference</w:t>
      </w:r>
      <w:r w:rsidRPr="005238AE">
        <w:rPr>
          <w:bCs/>
          <w:lang w:val="en-US"/>
        </w:rPr>
        <w:t xml:space="preserve">? </w:t>
      </w:r>
      <w:proofErr w:type="gramStart"/>
      <w:r w:rsidRPr="005238AE">
        <w:rPr>
          <w:bCs/>
          <w:lang w:val="en-US"/>
        </w:rPr>
        <w:t>IMF Working Paper.7.</w:t>
      </w:r>
      <w:proofErr w:type="gramEnd"/>
      <w:r w:rsidRPr="005238AE">
        <w:rPr>
          <w:bCs/>
          <w:lang w:val="en-US"/>
        </w:rPr>
        <w:t xml:space="preserve"> </w:t>
      </w:r>
      <w:proofErr w:type="spellStart"/>
      <w:r w:rsidRPr="005238AE">
        <w:rPr>
          <w:bCs/>
          <w:lang w:val="en-US"/>
        </w:rPr>
        <w:t>Disponível</w:t>
      </w:r>
      <w:proofErr w:type="spellEnd"/>
      <w:r w:rsidRPr="005238AE">
        <w:rPr>
          <w:bCs/>
          <w:lang w:val="en-US"/>
        </w:rPr>
        <w:t xml:space="preserve"> </w:t>
      </w:r>
      <w:proofErr w:type="spellStart"/>
      <w:r w:rsidRPr="005238AE">
        <w:rPr>
          <w:bCs/>
          <w:lang w:val="en-US"/>
        </w:rPr>
        <w:t>em</w:t>
      </w:r>
      <w:proofErr w:type="spellEnd"/>
      <w:r w:rsidRPr="005238AE">
        <w:rPr>
          <w:bCs/>
          <w:lang w:val="en-US"/>
        </w:rPr>
        <w:t>: http://www.imf.org/external/pubs/cat/longres.aspx?sk=26249.0</w:t>
      </w:r>
    </w:p>
    <w:p w14:paraId="595671BA" w14:textId="77777777" w:rsidR="005238AE" w:rsidRPr="005238AE" w:rsidRDefault="005238AE" w:rsidP="005238AE">
      <w:pPr>
        <w:spacing w:line="240" w:lineRule="auto"/>
        <w:ind w:left="851" w:hanging="851"/>
        <w:rPr>
          <w:lang w:val="en-US"/>
        </w:rPr>
      </w:pPr>
      <w:r w:rsidRPr="005238AE">
        <w:rPr>
          <w:lang w:val="en-US"/>
        </w:rPr>
        <w:t xml:space="preserve">BAECK, I. M. </w:t>
      </w:r>
      <w:proofErr w:type="spellStart"/>
      <w:r w:rsidRPr="005238AE">
        <w:rPr>
          <w:i/>
          <w:lang w:val="en-US"/>
        </w:rPr>
        <w:t>Portfólio</w:t>
      </w:r>
      <w:proofErr w:type="spellEnd"/>
      <w:r w:rsidRPr="005238AE">
        <w:rPr>
          <w:i/>
          <w:lang w:val="en-US"/>
        </w:rPr>
        <w:t xml:space="preserve"> investment flows to Asia and Latin America: Pull, push or market sentiment</w:t>
      </w:r>
      <w:r w:rsidRPr="005238AE">
        <w:rPr>
          <w:lang w:val="en-US"/>
        </w:rPr>
        <w:t xml:space="preserve">? Journal of Asian Economics 17 (2006) 363–373. </w:t>
      </w:r>
      <w:proofErr w:type="spellStart"/>
      <w:r w:rsidRPr="005238AE">
        <w:rPr>
          <w:lang w:val="en-US"/>
        </w:rPr>
        <w:t>Disponível</w:t>
      </w:r>
      <w:proofErr w:type="spellEnd"/>
      <w:r w:rsidRPr="005238AE">
        <w:rPr>
          <w:lang w:val="en-US"/>
        </w:rPr>
        <w:t xml:space="preserve"> </w:t>
      </w:r>
      <w:proofErr w:type="spellStart"/>
      <w:r w:rsidRPr="005238AE">
        <w:rPr>
          <w:lang w:val="en-US"/>
        </w:rPr>
        <w:t>em</w:t>
      </w:r>
      <w:proofErr w:type="spellEnd"/>
      <w:r w:rsidRPr="005238AE">
        <w:rPr>
          <w:lang w:val="en-US"/>
        </w:rPr>
        <w:t xml:space="preserve">: </w:t>
      </w:r>
      <w:hyperlink r:id="rId14" w:history="1">
        <w:r w:rsidRPr="005238AE">
          <w:rPr>
            <w:u w:val="single"/>
            <w:lang w:val="en-US"/>
          </w:rPr>
          <w:t>https://ideas.repec.org/a/eee/asieco/v17y2006i2p363-373.html</w:t>
        </w:r>
      </w:hyperlink>
    </w:p>
    <w:p w14:paraId="6455C06A" w14:textId="77777777" w:rsidR="005238AE" w:rsidRPr="005238AE" w:rsidRDefault="005238AE" w:rsidP="005238AE">
      <w:pPr>
        <w:spacing w:line="240" w:lineRule="auto"/>
        <w:ind w:left="851" w:hanging="851"/>
      </w:pPr>
      <w:r w:rsidRPr="005238AE">
        <w:t xml:space="preserve">BELLUZZO, L. G. (1997). O dinheiro e as metamorfoses da riqueza. In: J. 7. Fiori, </w:t>
      </w:r>
      <w:r w:rsidRPr="005238AE">
        <w:rPr>
          <w:iCs/>
        </w:rPr>
        <w:t>Poder e Dinheiro.</w:t>
      </w:r>
      <w:r w:rsidRPr="005238AE">
        <w:t xml:space="preserve"> Rio de Janeiro: Vozes.</w:t>
      </w:r>
    </w:p>
    <w:p w14:paraId="48C3862A" w14:textId="77777777" w:rsidR="005238AE" w:rsidRPr="005238AE" w:rsidRDefault="005238AE" w:rsidP="005238AE">
      <w:pPr>
        <w:spacing w:line="240" w:lineRule="auto"/>
        <w:ind w:left="851" w:hanging="851"/>
        <w:rPr>
          <w:bCs/>
        </w:rPr>
      </w:pPr>
      <w:r w:rsidRPr="005238AE">
        <w:rPr>
          <w:bCs/>
        </w:rPr>
        <w:t xml:space="preserve">BIANCARELI, A. M. Países emergentes e ciclos internacionais. In: Ricardo de Medeiros Carneiro. (Org.). A supremacia dos mercados e a política econômica do Governo Lula. São Paulo - SP: Editora </w:t>
      </w:r>
      <w:proofErr w:type="gramStart"/>
      <w:r w:rsidRPr="005238AE">
        <w:rPr>
          <w:bCs/>
        </w:rPr>
        <w:t>Unesp</w:t>
      </w:r>
      <w:proofErr w:type="gramEnd"/>
      <w:r w:rsidRPr="005238AE">
        <w:rPr>
          <w:bCs/>
        </w:rPr>
        <w:t>, 2006, v. , p. 97-129.</w:t>
      </w:r>
    </w:p>
    <w:p w14:paraId="0FFEC311" w14:textId="77777777" w:rsidR="005238AE" w:rsidRPr="005238AE" w:rsidRDefault="005238AE" w:rsidP="005238AE">
      <w:pPr>
        <w:spacing w:line="240" w:lineRule="auto"/>
        <w:ind w:left="851" w:hanging="851"/>
        <w:rPr>
          <w:bCs/>
        </w:rPr>
      </w:pPr>
      <w:r w:rsidRPr="005238AE">
        <w:rPr>
          <w:bCs/>
        </w:rPr>
        <w:t xml:space="preserve">BLUNDELL, R., &amp; S. BOND. 1998. </w:t>
      </w:r>
      <w:proofErr w:type="spellStart"/>
      <w:r w:rsidRPr="005238AE">
        <w:rPr>
          <w:bCs/>
        </w:rPr>
        <w:t>Initial</w:t>
      </w:r>
      <w:proofErr w:type="spellEnd"/>
      <w:r w:rsidRPr="005238AE">
        <w:rPr>
          <w:bCs/>
        </w:rPr>
        <w:t xml:space="preserve"> </w:t>
      </w:r>
      <w:proofErr w:type="spellStart"/>
      <w:r w:rsidRPr="005238AE">
        <w:rPr>
          <w:bCs/>
        </w:rPr>
        <w:t>conditions</w:t>
      </w:r>
      <w:proofErr w:type="spellEnd"/>
      <w:r w:rsidRPr="005238AE">
        <w:rPr>
          <w:bCs/>
        </w:rPr>
        <w:t xml:space="preserve"> </w:t>
      </w:r>
      <w:proofErr w:type="spellStart"/>
      <w:r w:rsidRPr="005238AE">
        <w:rPr>
          <w:bCs/>
        </w:rPr>
        <w:t>and</w:t>
      </w:r>
      <w:proofErr w:type="spellEnd"/>
      <w:r w:rsidRPr="005238AE">
        <w:rPr>
          <w:bCs/>
        </w:rPr>
        <w:t xml:space="preserve"> </w:t>
      </w:r>
      <w:proofErr w:type="spellStart"/>
      <w:r w:rsidRPr="005238AE">
        <w:rPr>
          <w:bCs/>
        </w:rPr>
        <w:t>moment</w:t>
      </w:r>
      <w:proofErr w:type="spellEnd"/>
      <w:r w:rsidRPr="005238AE">
        <w:rPr>
          <w:bCs/>
        </w:rPr>
        <w:t xml:space="preserve"> </w:t>
      </w:r>
      <w:proofErr w:type="spellStart"/>
      <w:r w:rsidRPr="005238AE">
        <w:rPr>
          <w:bCs/>
        </w:rPr>
        <w:t>restrictions</w:t>
      </w:r>
      <w:proofErr w:type="spellEnd"/>
      <w:r w:rsidRPr="005238AE">
        <w:rPr>
          <w:bCs/>
        </w:rPr>
        <w:t xml:space="preserve"> in </w:t>
      </w:r>
      <w:proofErr w:type="spellStart"/>
      <w:r w:rsidRPr="005238AE">
        <w:rPr>
          <w:bCs/>
        </w:rPr>
        <w:t>dynamic</w:t>
      </w:r>
      <w:proofErr w:type="spellEnd"/>
      <w:r w:rsidRPr="005238AE">
        <w:rPr>
          <w:bCs/>
        </w:rPr>
        <w:t xml:space="preserve"> </w:t>
      </w:r>
      <w:proofErr w:type="spellStart"/>
      <w:r w:rsidRPr="005238AE">
        <w:rPr>
          <w:bCs/>
        </w:rPr>
        <w:t>panel</w:t>
      </w:r>
      <w:proofErr w:type="spellEnd"/>
      <w:r w:rsidRPr="005238AE">
        <w:rPr>
          <w:bCs/>
        </w:rPr>
        <w:t xml:space="preserve"> data </w:t>
      </w:r>
      <w:proofErr w:type="spellStart"/>
      <w:r w:rsidRPr="005238AE">
        <w:rPr>
          <w:bCs/>
        </w:rPr>
        <w:t>models</w:t>
      </w:r>
      <w:proofErr w:type="spellEnd"/>
      <w:r w:rsidRPr="005238AE">
        <w:rPr>
          <w:bCs/>
        </w:rPr>
        <w:t xml:space="preserve">. </w:t>
      </w:r>
      <w:proofErr w:type="spellStart"/>
      <w:r w:rsidRPr="005238AE">
        <w:rPr>
          <w:bCs/>
        </w:rPr>
        <w:t>Journal</w:t>
      </w:r>
      <w:proofErr w:type="spellEnd"/>
      <w:r w:rsidRPr="005238AE">
        <w:rPr>
          <w:bCs/>
        </w:rPr>
        <w:t xml:space="preserve"> </w:t>
      </w:r>
      <w:proofErr w:type="spellStart"/>
      <w:r w:rsidRPr="005238AE">
        <w:rPr>
          <w:bCs/>
        </w:rPr>
        <w:t>of</w:t>
      </w:r>
      <w:proofErr w:type="spellEnd"/>
      <w:r w:rsidRPr="005238AE">
        <w:rPr>
          <w:bCs/>
        </w:rPr>
        <w:t xml:space="preserve"> </w:t>
      </w:r>
      <w:proofErr w:type="spellStart"/>
      <w:r w:rsidRPr="005238AE">
        <w:rPr>
          <w:bCs/>
        </w:rPr>
        <w:t>Econometrics</w:t>
      </w:r>
      <w:proofErr w:type="spellEnd"/>
      <w:r w:rsidRPr="005238AE">
        <w:rPr>
          <w:bCs/>
        </w:rPr>
        <w:t xml:space="preserve"> 87: 115–143.</w:t>
      </w:r>
    </w:p>
    <w:p w14:paraId="3B8E136E" w14:textId="77777777" w:rsidR="005238AE" w:rsidRPr="005238AE" w:rsidRDefault="005238AE" w:rsidP="005238AE">
      <w:pPr>
        <w:spacing w:line="240" w:lineRule="auto"/>
        <w:ind w:left="851" w:hanging="851"/>
        <w:rPr>
          <w:bCs/>
        </w:rPr>
      </w:pPr>
      <w:r w:rsidRPr="005238AE">
        <w:rPr>
          <w:bCs/>
        </w:rPr>
        <w:t>BORIO, C &amp; DISYATAT, P. (2011). </w:t>
      </w:r>
      <w:r w:rsidRPr="005238AE">
        <w:rPr>
          <w:bCs/>
          <w:i/>
        </w:rPr>
        <w:t xml:space="preserve">Global </w:t>
      </w:r>
      <w:proofErr w:type="spellStart"/>
      <w:r w:rsidRPr="005238AE">
        <w:rPr>
          <w:bCs/>
          <w:i/>
        </w:rPr>
        <w:t>Imbalances</w:t>
      </w:r>
      <w:proofErr w:type="spellEnd"/>
      <w:r w:rsidRPr="005238AE">
        <w:rPr>
          <w:bCs/>
          <w:i/>
        </w:rPr>
        <w:t xml:space="preserve"> </w:t>
      </w:r>
      <w:proofErr w:type="spellStart"/>
      <w:r w:rsidRPr="005238AE">
        <w:rPr>
          <w:bCs/>
          <w:i/>
        </w:rPr>
        <w:t>and</w:t>
      </w:r>
      <w:proofErr w:type="spellEnd"/>
      <w:r w:rsidRPr="005238AE">
        <w:rPr>
          <w:bCs/>
          <w:i/>
        </w:rPr>
        <w:t xml:space="preserve"> </w:t>
      </w:r>
      <w:proofErr w:type="spellStart"/>
      <w:r w:rsidRPr="005238AE">
        <w:rPr>
          <w:bCs/>
          <w:i/>
        </w:rPr>
        <w:t>the</w:t>
      </w:r>
      <w:proofErr w:type="spellEnd"/>
      <w:r w:rsidRPr="005238AE">
        <w:rPr>
          <w:bCs/>
          <w:i/>
        </w:rPr>
        <w:t xml:space="preserve"> Financial </w:t>
      </w:r>
      <w:proofErr w:type="spellStart"/>
      <w:r w:rsidRPr="005238AE">
        <w:rPr>
          <w:bCs/>
          <w:i/>
        </w:rPr>
        <w:t>Crisis</w:t>
      </w:r>
      <w:proofErr w:type="spellEnd"/>
      <w:r w:rsidRPr="005238AE">
        <w:rPr>
          <w:bCs/>
          <w:i/>
        </w:rPr>
        <w:t xml:space="preserve">: Link </w:t>
      </w:r>
      <w:proofErr w:type="spellStart"/>
      <w:r w:rsidRPr="005238AE">
        <w:rPr>
          <w:bCs/>
          <w:i/>
        </w:rPr>
        <w:t>or</w:t>
      </w:r>
      <w:proofErr w:type="spellEnd"/>
      <w:r w:rsidRPr="005238AE">
        <w:rPr>
          <w:bCs/>
          <w:i/>
        </w:rPr>
        <w:t xml:space="preserve"> no Link</w:t>
      </w:r>
      <w:r w:rsidRPr="005238AE">
        <w:rPr>
          <w:bCs/>
        </w:rPr>
        <w:t xml:space="preserve">? BIS </w:t>
      </w:r>
      <w:proofErr w:type="spellStart"/>
      <w:r w:rsidRPr="005238AE">
        <w:rPr>
          <w:bCs/>
        </w:rPr>
        <w:t>Working</w:t>
      </w:r>
      <w:proofErr w:type="spellEnd"/>
      <w:r w:rsidRPr="005238AE">
        <w:rPr>
          <w:bCs/>
        </w:rPr>
        <w:t xml:space="preserve"> </w:t>
      </w:r>
      <w:proofErr w:type="spellStart"/>
      <w:r w:rsidRPr="005238AE">
        <w:rPr>
          <w:bCs/>
        </w:rPr>
        <w:t>Papers</w:t>
      </w:r>
      <w:proofErr w:type="spellEnd"/>
      <w:r w:rsidRPr="005238AE">
        <w:rPr>
          <w:bCs/>
        </w:rPr>
        <w:t xml:space="preserve"> </w:t>
      </w:r>
      <w:proofErr w:type="gramStart"/>
      <w:r w:rsidRPr="005238AE">
        <w:rPr>
          <w:bCs/>
        </w:rPr>
        <w:t>No 346</w:t>
      </w:r>
      <w:proofErr w:type="gramEnd"/>
      <w:r w:rsidRPr="005238AE">
        <w:rPr>
          <w:bCs/>
        </w:rPr>
        <w:t>. Disponível em: http://www.bis.org/publ/work346.pdf</w:t>
      </w:r>
    </w:p>
    <w:p w14:paraId="548C3BE6" w14:textId="77777777" w:rsidR="005238AE" w:rsidRPr="005238AE" w:rsidRDefault="005238AE" w:rsidP="005238AE">
      <w:pPr>
        <w:spacing w:line="240" w:lineRule="auto"/>
        <w:ind w:left="851" w:hanging="851"/>
        <w:rPr>
          <w:lang w:val="en-US"/>
        </w:rPr>
      </w:pPr>
      <w:r w:rsidRPr="005238AE">
        <w:t xml:space="preserve">BRANA S., </w:t>
      </w:r>
      <w:proofErr w:type="gramStart"/>
      <w:r w:rsidRPr="005238AE">
        <w:t>D.</w:t>
      </w:r>
      <w:proofErr w:type="gramEnd"/>
      <w:r w:rsidRPr="005238AE">
        <w:t xml:space="preserve"> &amp; LAHET, D. (2010). </w:t>
      </w:r>
      <w:r w:rsidRPr="005238AE">
        <w:rPr>
          <w:i/>
          <w:lang w:val="en-US"/>
        </w:rPr>
        <w:t>Determinants of capital inflows into Asia: The relevance of contagion effects as push factors.</w:t>
      </w:r>
      <w:r w:rsidRPr="005238AE">
        <w:rPr>
          <w:lang w:val="en-US"/>
        </w:rPr>
        <w:t xml:space="preserve"> Emerging Markets Review 11 (2010) 273–284. </w:t>
      </w:r>
      <w:proofErr w:type="spellStart"/>
      <w:r w:rsidRPr="005238AE">
        <w:rPr>
          <w:lang w:val="en-US"/>
        </w:rPr>
        <w:t>Disponível</w:t>
      </w:r>
      <w:proofErr w:type="spellEnd"/>
      <w:r w:rsidRPr="005238AE">
        <w:rPr>
          <w:lang w:val="en-US"/>
        </w:rPr>
        <w:t xml:space="preserve"> </w:t>
      </w:r>
      <w:proofErr w:type="spellStart"/>
      <w:r w:rsidRPr="005238AE">
        <w:rPr>
          <w:lang w:val="en-US"/>
        </w:rPr>
        <w:t>em</w:t>
      </w:r>
      <w:proofErr w:type="spellEnd"/>
      <w:r w:rsidRPr="005238AE">
        <w:rPr>
          <w:lang w:val="en-US"/>
        </w:rPr>
        <w:t>: http://www.sciencedirect.com/science/article/pii/S1566014110000142</w:t>
      </w:r>
    </w:p>
    <w:p w14:paraId="22E2D7B3" w14:textId="77777777" w:rsidR="005238AE" w:rsidRPr="005238AE" w:rsidRDefault="005238AE" w:rsidP="005238AE">
      <w:pPr>
        <w:spacing w:line="240" w:lineRule="auto"/>
        <w:ind w:left="851" w:hanging="851"/>
      </w:pPr>
      <w:r w:rsidRPr="005238AE">
        <w:rPr>
          <w:lang w:val="en-US"/>
        </w:rPr>
        <w:lastRenderedPageBreak/>
        <w:t xml:space="preserve">BREUSCH, T. &amp; PAGAN, A. (1979), </w:t>
      </w:r>
      <w:proofErr w:type="gramStart"/>
      <w:r w:rsidRPr="005238AE">
        <w:rPr>
          <w:i/>
          <w:lang w:val="en-US"/>
        </w:rPr>
        <w:t>A</w:t>
      </w:r>
      <w:proofErr w:type="gramEnd"/>
      <w:r w:rsidRPr="005238AE">
        <w:rPr>
          <w:i/>
          <w:lang w:val="en-US"/>
        </w:rPr>
        <w:t xml:space="preserve"> simple test of </w:t>
      </w:r>
      <w:proofErr w:type="spellStart"/>
      <w:r w:rsidRPr="005238AE">
        <w:rPr>
          <w:i/>
          <w:lang w:val="en-US"/>
        </w:rPr>
        <w:t>heteroskedasticity</w:t>
      </w:r>
      <w:proofErr w:type="spellEnd"/>
      <w:r w:rsidRPr="005238AE">
        <w:rPr>
          <w:i/>
          <w:lang w:val="en-US"/>
        </w:rPr>
        <w:t xml:space="preserve"> and random </w:t>
      </w:r>
      <w:proofErr w:type="spellStart"/>
      <w:r w:rsidRPr="005238AE">
        <w:rPr>
          <w:i/>
          <w:lang w:val="en-US"/>
        </w:rPr>
        <w:t>coe</w:t>
      </w:r>
      <w:proofErr w:type="spellEnd"/>
      <w:r w:rsidRPr="005238AE">
        <w:rPr>
          <w:rFonts w:ascii="Cambria Math" w:hAnsi="Cambria Math" w:cs="Cambria Math"/>
          <w:i/>
        </w:rPr>
        <w:t>ﬃ</w:t>
      </w:r>
      <w:proofErr w:type="spellStart"/>
      <w:r w:rsidRPr="005238AE">
        <w:rPr>
          <w:i/>
          <w:lang w:val="en-US"/>
        </w:rPr>
        <w:t>cient</w:t>
      </w:r>
      <w:proofErr w:type="spellEnd"/>
      <w:r w:rsidRPr="005238AE">
        <w:rPr>
          <w:i/>
          <w:lang w:val="en-US"/>
        </w:rPr>
        <w:t xml:space="preserve"> variation</w:t>
      </w:r>
      <w:r w:rsidRPr="005238AE">
        <w:rPr>
          <w:lang w:val="en-US"/>
        </w:rPr>
        <w:t xml:space="preserve">, </w:t>
      </w:r>
      <w:proofErr w:type="spellStart"/>
      <w:r w:rsidRPr="005238AE">
        <w:rPr>
          <w:lang w:val="en-US"/>
        </w:rPr>
        <w:t>Econometrica</w:t>
      </w:r>
      <w:proofErr w:type="spellEnd"/>
      <w:r w:rsidRPr="005238AE">
        <w:rPr>
          <w:lang w:val="en-US"/>
        </w:rPr>
        <w:t xml:space="preserve"> 47, 1287–1294. </w:t>
      </w:r>
      <w:r w:rsidRPr="005238AE">
        <w:t xml:space="preserve">Disponível em: </w:t>
      </w:r>
      <w:hyperlink r:id="rId15" w:history="1">
        <w:r w:rsidRPr="005238AE">
          <w:rPr>
            <w:u w:val="single"/>
          </w:rPr>
          <w:t>http://www.aae.wisc.edu/aae637/handouts/breusch_pagan_hetero_test_article.pdf</w:t>
        </w:r>
      </w:hyperlink>
    </w:p>
    <w:p w14:paraId="7379AC24" w14:textId="77777777" w:rsidR="005238AE" w:rsidRPr="005238AE" w:rsidRDefault="005238AE" w:rsidP="005238AE">
      <w:pPr>
        <w:spacing w:line="240" w:lineRule="auto"/>
        <w:ind w:left="851" w:hanging="851"/>
        <w:rPr>
          <w:lang w:val="en-US"/>
        </w:rPr>
      </w:pPr>
      <w:r w:rsidRPr="005238AE">
        <w:t xml:space="preserve">BRUNO, V. &amp; SHIN, H. S. (2013). </w:t>
      </w:r>
      <w:r w:rsidRPr="005238AE">
        <w:rPr>
          <w:i/>
          <w:lang w:val="en-US"/>
        </w:rPr>
        <w:t>Capital flows, cross-border banking and global liquidity</w:t>
      </w:r>
      <w:r w:rsidRPr="005238AE">
        <w:rPr>
          <w:lang w:val="en-US"/>
        </w:rPr>
        <w:t xml:space="preserve">. </w:t>
      </w:r>
      <w:proofErr w:type="gramStart"/>
      <w:r w:rsidRPr="005238AE">
        <w:rPr>
          <w:lang w:val="en-US"/>
        </w:rPr>
        <w:t>NBER Working Paper Series.</w:t>
      </w:r>
      <w:proofErr w:type="gramEnd"/>
    </w:p>
    <w:p w14:paraId="1DCDD12C" w14:textId="77777777" w:rsidR="005238AE" w:rsidRPr="005238AE" w:rsidRDefault="005238AE" w:rsidP="005238AE">
      <w:pPr>
        <w:spacing w:line="240" w:lineRule="auto"/>
        <w:ind w:left="851" w:hanging="851"/>
        <w:rPr>
          <w:lang w:val="en-US"/>
        </w:rPr>
      </w:pPr>
      <w:r w:rsidRPr="005238AE">
        <w:rPr>
          <w:lang w:val="en-US"/>
        </w:rPr>
        <w:t xml:space="preserve">CALVO, G.; LEIDERMAN, L. </w:t>
      </w:r>
      <w:r w:rsidRPr="005238AE">
        <w:rPr>
          <w:bCs/>
          <w:lang w:val="en-US"/>
        </w:rPr>
        <w:t>&amp;</w:t>
      </w:r>
      <w:r w:rsidRPr="005238AE">
        <w:rPr>
          <w:lang w:val="en-US"/>
        </w:rPr>
        <w:t xml:space="preserve"> REINHART, C. </w:t>
      </w:r>
      <w:r w:rsidRPr="005238AE">
        <w:rPr>
          <w:i/>
          <w:lang w:val="en-US"/>
        </w:rPr>
        <w:t>Capital flows and real exchange rate appreciation in Latin America: the role of external factors</w:t>
      </w:r>
      <w:r w:rsidRPr="005238AE">
        <w:rPr>
          <w:lang w:val="en-US"/>
        </w:rPr>
        <w:t>. IMF Staff Papers, vol. 40, 1993, p. 123-139.</w:t>
      </w:r>
    </w:p>
    <w:p w14:paraId="7BDE54A1" w14:textId="77777777" w:rsidR="005238AE" w:rsidRPr="005238AE" w:rsidRDefault="005238AE" w:rsidP="005238AE">
      <w:pPr>
        <w:spacing w:line="240" w:lineRule="auto"/>
        <w:ind w:left="851" w:hanging="851"/>
        <w:rPr>
          <w:lang w:val="en-US"/>
        </w:rPr>
      </w:pPr>
      <w:proofErr w:type="gramStart"/>
      <w:r w:rsidRPr="005238AE">
        <w:rPr>
          <w:lang w:val="en-US"/>
        </w:rPr>
        <w:t xml:space="preserve">CANUTO, O. &amp; FONSECA, P. </w:t>
      </w:r>
      <w:proofErr w:type="spellStart"/>
      <w:r w:rsidRPr="005238AE">
        <w:rPr>
          <w:lang w:val="en-US"/>
        </w:rPr>
        <w:t>Risco</w:t>
      </w:r>
      <w:proofErr w:type="spellEnd"/>
      <w:r w:rsidRPr="005238AE">
        <w:rPr>
          <w:lang w:val="en-US"/>
        </w:rPr>
        <w:t xml:space="preserve"> </w:t>
      </w:r>
      <w:proofErr w:type="spellStart"/>
      <w:r w:rsidRPr="005238AE">
        <w:rPr>
          <w:lang w:val="en-US"/>
        </w:rPr>
        <w:t>soberano</w:t>
      </w:r>
      <w:proofErr w:type="spellEnd"/>
      <w:r w:rsidRPr="005238AE">
        <w:rPr>
          <w:lang w:val="en-US"/>
        </w:rPr>
        <w:t xml:space="preserve"> e </w:t>
      </w:r>
      <w:proofErr w:type="spellStart"/>
      <w:r w:rsidRPr="005238AE">
        <w:rPr>
          <w:lang w:val="en-US"/>
        </w:rPr>
        <w:t>prêmios</w:t>
      </w:r>
      <w:proofErr w:type="spellEnd"/>
      <w:r w:rsidRPr="005238AE">
        <w:rPr>
          <w:lang w:val="en-US"/>
        </w:rPr>
        <w:t xml:space="preserve"> de </w:t>
      </w:r>
      <w:proofErr w:type="spellStart"/>
      <w:r w:rsidRPr="005238AE">
        <w:rPr>
          <w:lang w:val="en-US"/>
        </w:rPr>
        <w:t>risco</w:t>
      </w:r>
      <w:proofErr w:type="spellEnd"/>
      <w:r w:rsidRPr="005238AE">
        <w:rPr>
          <w:lang w:val="en-US"/>
        </w:rPr>
        <w:t xml:space="preserve"> </w:t>
      </w:r>
      <w:proofErr w:type="spellStart"/>
      <w:r w:rsidRPr="005238AE">
        <w:rPr>
          <w:lang w:val="en-US"/>
        </w:rPr>
        <w:t>em</w:t>
      </w:r>
      <w:proofErr w:type="spellEnd"/>
      <w:r w:rsidRPr="005238AE">
        <w:rPr>
          <w:lang w:val="en-US"/>
        </w:rPr>
        <w:t xml:space="preserve"> </w:t>
      </w:r>
      <w:proofErr w:type="spellStart"/>
      <w:r w:rsidRPr="005238AE">
        <w:rPr>
          <w:lang w:val="en-US"/>
        </w:rPr>
        <w:t>economias</w:t>
      </w:r>
      <w:proofErr w:type="spellEnd"/>
      <w:r w:rsidRPr="005238AE">
        <w:rPr>
          <w:lang w:val="en-US"/>
        </w:rPr>
        <w:t xml:space="preserve"> </w:t>
      </w:r>
      <w:proofErr w:type="spellStart"/>
      <w:r w:rsidRPr="005238AE">
        <w:rPr>
          <w:lang w:val="en-US"/>
        </w:rPr>
        <w:t>emergentes</w:t>
      </w:r>
      <w:proofErr w:type="spellEnd"/>
      <w:r w:rsidRPr="005238AE">
        <w:rPr>
          <w:lang w:val="en-US"/>
        </w:rPr>
        <w:t>.</w:t>
      </w:r>
      <w:proofErr w:type="gramEnd"/>
      <w:r w:rsidRPr="005238AE">
        <w:rPr>
          <w:lang w:val="en-US"/>
        </w:rPr>
        <w:t xml:space="preserve"> </w:t>
      </w:r>
      <w:proofErr w:type="spellStart"/>
      <w:proofErr w:type="gramStart"/>
      <w:r w:rsidRPr="005238AE">
        <w:rPr>
          <w:lang w:val="en-US"/>
        </w:rPr>
        <w:t>Revista</w:t>
      </w:r>
      <w:proofErr w:type="spellEnd"/>
      <w:r w:rsidRPr="005238AE">
        <w:rPr>
          <w:lang w:val="en-US"/>
        </w:rPr>
        <w:t xml:space="preserve"> </w:t>
      </w:r>
      <w:proofErr w:type="spellStart"/>
      <w:r w:rsidRPr="005238AE">
        <w:rPr>
          <w:lang w:val="en-US"/>
        </w:rPr>
        <w:t>Brasileira</w:t>
      </w:r>
      <w:proofErr w:type="spellEnd"/>
      <w:r w:rsidRPr="005238AE">
        <w:rPr>
          <w:lang w:val="en-US"/>
        </w:rPr>
        <w:t xml:space="preserve"> de </w:t>
      </w:r>
      <w:proofErr w:type="spellStart"/>
      <w:r w:rsidRPr="005238AE">
        <w:rPr>
          <w:lang w:val="en-US"/>
        </w:rPr>
        <w:t>Comércio</w:t>
      </w:r>
      <w:proofErr w:type="spellEnd"/>
      <w:r w:rsidRPr="005238AE">
        <w:rPr>
          <w:lang w:val="en-US"/>
        </w:rPr>
        <w:t xml:space="preserve"> Exterior.</w:t>
      </w:r>
      <w:proofErr w:type="gramEnd"/>
      <w:r w:rsidRPr="005238AE">
        <w:rPr>
          <w:lang w:val="en-US"/>
        </w:rPr>
        <w:t xml:space="preserve"> Ed 78. Set. 2003.</w:t>
      </w:r>
    </w:p>
    <w:p w14:paraId="1B61A7EA" w14:textId="77777777" w:rsidR="005238AE" w:rsidRPr="005238AE" w:rsidRDefault="005238AE" w:rsidP="005238AE">
      <w:pPr>
        <w:spacing w:line="240" w:lineRule="auto"/>
        <w:ind w:left="851" w:hanging="851"/>
        <w:rPr>
          <w:lang w:val="en-US"/>
        </w:rPr>
      </w:pPr>
      <w:proofErr w:type="gramStart"/>
      <w:r w:rsidRPr="005238AE">
        <w:rPr>
          <w:lang w:val="en-US"/>
        </w:rPr>
        <w:t>CANUTO, O.; SANTOS, P. F. P &amp; PORTO, P. C. S. (2004).</w:t>
      </w:r>
      <w:proofErr w:type="gramEnd"/>
      <w:r w:rsidRPr="005238AE">
        <w:rPr>
          <w:lang w:val="en-US"/>
        </w:rPr>
        <w:t xml:space="preserve"> </w:t>
      </w:r>
      <w:proofErr w:type="gramStart"/>
      <w:r w:rsidRPr="005238AE">
        <w:rPr>
          <w:i/>
          <w:lang w:val="en-US"/>
        </w:rPr>
        <w:t>Macroeconomics and Sovereign Risk Ratings</w:t>
      </w:r>
      <w:r w:rsidRPr="005238AE">
        <w:rPr>
          <w:lang w:val="en-US"/>
        </w:rPr>
        <w:t>.</w:t>
      </w:r>
      <w:proofErr w:type="gramEnd"/>
      <w:r w:rsidRPr="005238AE">
        <w:rPr>
          <w:lang w:val="en-US"/>
        </w:rPr>
        <w:t xml:space="preserve"> </w:t>
      </w:r>
      <w:proofErr w:type="gramStart"/>
      <w:r w:rsidRPr="005238AE">
        <w:rPr>
          <w:lang w:val="en-US"/>
        </w:rPr>
        <w:t>World Bank.</w:t>
      </w:r>
      <w:proofErr w:type="gramEnd"/>
      <w:r w:rsidRPr="005238AE">
        <w:rPr>
          <w:lang w:val="en-US"/>
        </w:rPr>
        <w:t xml:space="preserve"> Washington, January 2004.</w:t>
      </w:r>
    </w:p>
    <w:p w14:paraId="0C738691" w14:textId="77777777" w:rsidR="005238AE" w:rsidRPr="005238AE" w:rsidRDefault="005238AE" w:rsidP="005238AE">
      <w:pPr>
        <w:spacing w:line="240" w:lineRule="auto"/>
        <w:ind w:left="851" w:hanging="851"/>
      </w:pPr>
      <w:r w:rsidRPr="005238AE">
        <w:t xml:space="preserve">CARNEIRO, R de M. Globalização financeira e inserção periférica. </w:t>
      </w:r>
      <w:r w:rsidRPr="005238AE">
        <w:rPr>
          <w:iCs/>
        </w:rPr>
        <w:t xml:space="preserve">Economia e Sociedade, </w:t>
      </w:r>
      <w:r w:rsidRPr="005238AE">
        <w:t>Campinas, n. 13, p. 58-92, 1999.</w:t>
      </w:r>
    </w:p>
    <w:p w14:paraId="46FE11E3" w14:textId="77777777" w:rsidR="005238AE" w:rsidRPr="005238AE" w:rsidRDefault="005238AE" w:rsidP="005238AE">
      <w:pPr>
        <w:spacing w:line="240" w:lineRule="auto"/>
        <w:ind w:left="851" w:hanging="851"/>
        <w:rPr>
          <w:lang w:val="en-US"/>
        </w:rPr>
      </w:pPr>
      <w:r w:rsidRPr="005238AE">
        <w:rPr>
          <w:lang w:val="en-US"/>
        </w:rPr>
        <w:t xml:space="preserve">CHAN-LAU, J. A. </w:t>
      </w:r>
      <w:proofErr w:type="gramStart"/>
      <w:r w:rsidRPr="005238AE">
        <w:rPr>
          <w:i/>
          <w:lang w:val="en-US"/>
        </w:rPr>
        <w:t>The Global Financial Crisis and its Impact on the Chilean Banking System</w:t>
      </w:r>
      <w:r w:rsidRPr="005238AE">
        <w:rPr>
          <w:lang w:val="en-US"/>
        </w:rPr>
        <w:t>.</w:t>
      </w:r>
      <w:proofErr w:type="gramEnd"/>
      <w:r w:rsidRPr="005238AE">
        <w:rPr>
          <w:lang w:val="en-US"/>
        </w:rPr>
        <w:t xml:space="preserve"> </w:t>
      </w:r>
      <w:proofErr w:type="gramStart"/>
      <w:r w:rsidRPr="005238AE">
        <w:rPr>
          <w:lang w:val="en-US"/>
        </w:rPr>
        <w:t>IMF Working Paper.</w:t>
      </w:r>
      <w:proofErr w:type="gramEnd"/>
      <w:r w:rsidRPr="005238AE">
        <w:rPr>
          <w:lang w:val="en-US"/>
        </w:rPr>
        <w:t xml:space="preserve"> </w:t>
      </w:r>
      <w:proofErr w:type="gramStart"/>
      <w:r w:rsidRPr="005238AE">
        <w:rPr>
          <w:lang w:val="en-US"/>
        </w:rPr>
        <w:t>WP/10/108.</w:t>
      </w:r>
      <w:proofErr w:type="gramEnd"/>
      <w:r w:rsidRPr="005238AE">
        <w:rPr>
          <w:lang w:val="en-US"/>
        </w:rPr>
        <w:t xml:space="preserve"> April 2010. </w:t>
      </w:r>
      <w:proofErr w:type="spellStart"/>
      <w:r w:rsidRPr="005238AE">
        <w:rPr>
          <w:lang w:val="en-US"/>
        </w:rPr>
        <w:t>Disponível</w:t>
      </w:r>
      <w:proofErr w:type="spellEnd"/>
      <w:r w:rsidRPr="005238AE">
        <w:rPr>
          <w:lang w:val="en-US"/>
        </w:rPr>
        <w:t xml:space="preserve"> </w:t>
      </w:r>
      <w:proofErr w:type="spellStart"/>
      <w:r w:rsidRPr="005238AE">
        <w:rPr>
          <w:lang w:val="en-US"/>
        </w:rPr>
        <w:t>em</w:t>
      </w:r>
      <w:proofErr w:type="spellEnd"/>
      <w:r w:rsidRPr="005238AE">
        <w:rPr>
          <w:lang w:val="en-US"/>
        </w:rPr>
        <w:t>: https://www.imf.org</w:t>
      </w:r>
    </w:p>
    <w:p w14:paraId="1C01078F" w14:textId="77777777" w:rsidR="005238AE" w:rsidRPr="005238AE" w:rsidRDefault="005238AE" w:rsidP="005238AE">
      <w:pPr>
        <w:spacing w:line="240" w:lineRule="auto"/>
        <w:ind w:left="851" w:hanging="851"/>
        <w:rPr>
          <w:bCs/>
          <w:lang w:val="en-US"/>
        </w:rPr>
      </w:pPr>
      <w:r w:rsidRPr="005238AE">
        <w:rPr>
          <w:bCs/>
        </w:rPr>
        <w:t xml:space="preserve">CHINN, M.; &amp; ITO H. </w:t>
      </w:r>
      <w:proofErr w:type="gramStart"/>
      <w:r w:rsidRPr="005238AE">
        <w:rPr>
          <w:bCs/>
        </w:rPr>
        <w:t>D.</w:t>
      </w:r>
      <w:proofErr w:type="gramEnd"/>
      <w:r w:rsidRPr="005238AE">
        <w:rPr>
          <w:bCs/>
        </w:rPr>
        <w:t xml:space="preserve"> (2008). </w:t>
      </w:r>
      <w:r w:rsidRPr="005238AE">
        <w:rPr>
          <w:bCs/>
          <w:i/>
          <w:lang w:val="en-US"/>
        </w:rPr>
        <w:t>A New Measure of Financial Openness</w:t>
      </w:r>
      <w:r w:rsidRPr="005238AE">
        <w:rPr>
          <w:bCs/>
          <w:lang w:val="en-US"/>
        </w:rPr>
        <w:t>. </w:t>
      </w:r>
      <w:r w:rsidRPr="005238AE">
        <w:rPr>
          <w:bCs/>
          <w:i/>
          <w:iCs/>
          <w:lang w:val="en-US"/>
        </w:rPr>
        <w:t>Journal of Comparative Policy Analysis, </w:t>
      </w:r>
      <w:r w:rsidRPr="005238AE">
        <w:rPr>
          <w:bCs/>
          <w:lang w:val="en-US"/>
        </w:rPr>
        <w:t xml:space="preserve">Volume 10, Issue 3, p. 309 – 322 (September). </w:t>
      </w:r>
      <w:proofErr w:type="spellStart"/>
      <w:r w:rsidRPr="005238AE">
        <w:rPr>
          <w:bCs/>
          <w:lang w:val="en-US"/>
        </w:rPr>
        <w:t>Disponível</w:t>
      </w:r>
      <w:proofErr w:type="spellEnd"/>
      <w:r w:rsidRPr="005238AE">
        <w:rPr>
          <w:bCs/>
          <w:lang w:val="en-US"/>
        </w:rPr>
        <w:t xml:space="preserve"> </w:t>
      </w:r>
      <w:proofErr w:type="spellStart"/>
      <w:r w:rsidRPr="005238AE">
        <w:rPr>
          <w:bCs/>
          <w:lang w:val="en-US"/>
        </w:rPr>
        <w:t>em</w:t>
      </w:r>
      <w:proofErr w:type="spellEnd"/>
      <w:r w:rsidRPr="005238AE">
        <w:rPr>
          <w:bCs/>
          <w:lang w:val="en-US"/>
        </w:rPr>
        <w:t>: http://web.pdx.edu/~ito/Chinn-Ito_website.htm</w:t>
      </w:r>
    </w:p>
    <w:p w14:paraId="6E8BC779" w14:textId="77777777" w:rsidR="005238AE" w:rsidRPr="005238AE" w:rsidRDefault="005238AE" w:rsidP="005238AE">
      <w:pPr>
        <w:spacing w:line="240" w:lineRule="auto"/>
        <w:ind w:left="851" w:hanging="851"/>
        <w:rPr>
          <w:bCs/>
        </w:rPr>
      </w:pPr>
      <w:proofErr w:type="gramStart"/>
      <w:r w:rsidRPr="005238AE">
        <w:rPr>
          <w:bCs/>
          <w:lang w:val="en-US"/>
        </w:rPr>
        <w:t>________ (2013).</w:t>
      </w:r>
      <w:proofErr w:type="gramEnd"/>
      <w:r w:rsidRPr="005238AE">
        <w:rPr>
          <w:bCs/>
          <w:lang w:val="en-US"/>
        </w:rPr>
        <w:t xml:space="preserve"> </w:t>
      </w:r>
      <w:r w:rsidRPr="005238AE">
        <w:rPr>
          <w:bCs/>
          <w:i/>
          <w:lang w:val="en-US"/>
        </w:rPr>
        <w:t xml:space="preserve">The Chinn-Ito Index – A de jure measure of financial openness - 2011 </w:t>
      </w:r>
      <w:proofErr w:type="gramStart"/>
      <w:r w:rsidRPr="005238AE">
        <w:rPr>
          <w:bCs/>
          <w:i/>
          <w:lang w:val="en-US"/>
        </w:rPr>
        <w:t>Update</w:t>
      </w:r>
      <w:proofErr w:type="gramEnd"/>
      <w:r w:rsidRPr="005238AE">
        <w:rPr>
          <w:bCs/>
          <w:lang w:val="en-US"/>
        </w:rPr>
        <w:t xml:space="preserve">. </w:t>
      </w:r>
      <w:r w:rsidRPr="005238AE">
        <w:rPr>
          <w:bCs/>
        </w:rPr>
        <w:t>Disponível em: http://web.pdx.edu/~ito/Chinn-Ito_website.htm</w:t>
      </w:r>
    </w:p>
    <w:p w14:paraId="03705496" w14:textId="77777777" w:rsidR="005238AE" w:rsidRPr="005238AE" w:rsidRDefault="005238AE" w:rsidP="005238AE">
      <w:pPr>
        <w:spacing w:line="240" w:lineRule="auto"/>
        <w:ind w:left="851" w:hanging="851"/>
        <w:rPr>
          <w:bCs/>
          <w:lang w:val="en-GB"/>
        </w:rPr>
      </w:pPr>
      <w:proofErr w:type="gramStart"/>
      <w:r w:rsidRPr="005238AE">
        <w:rPr>
          <w:bCs/>
          <w:lang w:val="en-US"/>
        </w:rPr>
        <w:t>CHUHAN, P; CLAESSENS, S &amp; MAMINGI, N. (1993).</w:t>
      </w:r>
      <w:proofErr w:type="gramEnd"/>
      <w:r w:rsidRPr="005238AE">
        <w:rPr>
          <w:bCs/>
          <w:lang w:val="en-US"/>
        </w:rPr>
        <w:t xml:space="preserve"> </w:t>
      </w:r>
      <w:r w:rsidRPr="005238AE">
        <w:rPr>
          <w:bCs/>
          <w:i/>
          <w:lang w:val="en-US"/>
        </w:rPr>
        <w:t>Equity and Bond Flows to Asia and Latin America</w:t>
      </w:r>
      <w:r w:rsidRPr="005238AE">
        <w:rPr>
          <w:bCs/>
          <w:lang w:val="en-US"/>
        </w:rPr>
        <w:t xml:space="preserve">. </w:t>
      </w:r>
      <w:proofErr w:type="gramStart"/>
      <w:r w:rsidRPr="005238AE">
        <w:rPr>
          <w:bCs/>
          <w:lang w:val="en-GB"/>
        </w:rPr>
        <w:t>The World Bank, Policy Research Working Papers, No. 1160.</w:t>
      </w:r>
      <w:proofErr w:type="gramEnd"/>
      <w:r w:rsidRPr="005238AE">
        <w:rPr>
          <w:bCs/>
          <w:lang w:val="en-GB"/>
        </w:rPr>
        <w:t xml:space="preserve"> </w:t>
      </w:r>
      <w:proofErr w:type="spellStart"/>
      <w:r w:rsidRPr="005238AE">
        <w:rPr>
          <w:bCs/>
          <w:lang w:val="en-GB"/>
        </w:rPr>
        <w:t>Disponível</w:t>
      </w:r>
      <w:proofErr w:type="spellEnd"/>
      <w:r w:rsidRPr="005238AE">
        <w:rPr>
          <w:bCs/>
          <w:lang w:val="en-GB"/>
        </w:rPr>
        <w:t xml:space="preserve"> </w:t>
      </w:r>
      <w:proofErr w:type="spellStart"/>
      <w:r w:rsidRPr="005238AE">
        <w:rPr>
          <w:bCs/>
          <w:lang w:val="en-GB"/>
        </w:rPr>
        <w:t>em</w:t>
      </w:r>
      <w:proofErr w:type="spellEnd"/>
      <w:r w:rsidRPr="005238AE">
        <w:rPr>
          <w:bCs/>
          <w:lang w:val="en-GB"/>
        </w:rPr>
        <w:t xml:space="preserve">: </w:t>
      </w:r>
      <w:hyperlink r:id="rId16" w:history="1">
        <w:r w:rsidRPr="005238AE">
          <w:rPr>
            <w:bCs/>
            <w:u w:val="single"/>
            <w:lang w:val="en-GB"/>
          </w:rPr>
          <w:t>http://www-wds.worldbank.org/</w:t>
        </w:r>
      </w:hyperlink>
    </w:p>
    <w:p w14:paraId="0769BA10" w14:textId="77777777" w:rsidR="005238AE" w:rsidRPr="005238AE" w:rsidRDefault="005238AE" w:rsidP="005238AE">
      <w:pPr>
        <w:spacing w:line="240" w:lineRule="auto"/>
        <w:ind w:left="851" w:hanging="851"/>
        <w:rPr>
          <w:bCs/>
          <w:lang w:val="en-US"/>
        </w:rPr>
      </w:pPr>
      <w:r w:rsidRPr="005238AE">
        <w:rPr>
          <w:bCs/>
        </w:rPr>
        <w:t xml:space="preserve">CINTRA, M.A. &amp; PRATES, D. M. Os fluxos de capitais para o Brasil nos anos 1990. In: </w:t>
      </w:r>
      <w:proofErr w:type="spellStart"/>
      <w:r w:rsidRPr="005238AE">
        <w:rPr>
          <w:bCs/>
        </w:rPr>
        <w:t>Antonio</w:t>
      </w:r>
      <w:proofErr w:type="spellEnd"/>
      <w:r w:rsidRPr="005238AE">
        <w:rPr>
          <w:bCs/>
        </w:rPr>
        <w:t xml:space="preserve"> Correa de Lacerda. (Org.). Crise e Oportunidade: O Brasil e o Cenário internacional. </w:t>
      </w:r>
      <w:r w:rsidRPr="005238AE">
        <w:rPr>
          <w:bCs/>
          <w:lang w:val="en-US"/>
        </w:rPr>
        <w:t xml:space="preserve">1 ed. São Paulo: </w:t>
      </w:r>
      <w:proofErr w:type="spellStart"/>
      <w:r w:rsidRPr="005238AE">
        <w:rPr>
          <w:bCs/>
          <w:lang w:val="en-US"/>
        </w:rPr>
        <w:t>Sobeet</w:t>
      </w:r>
      <w:proofErr w:type="spellEnd"/>
      <w:r w:rsidRPr="005238AE">
        <w:rPr>
          <w:bCs/>
          <w:lang w:val="en-US"/>
        </w:rPr>
        <w:t xml:space="preserve"> e </w:t>
      </w:r>
      <w:proofErr w:type="spellStart"/>
      <w:r w:rsidRPr="005238AE">
        <w:rPr>
          <w:bCs/>
          <w:lang w:val="en-US"/>
        </w:rPr>
        <w:t>Editora</w:t>
      </w:r>
      <w:proofErr w:type="spellEnd"/>
      <w:r w:rsidRPr="005238AE">
        <w:rPr>
          <w:bCs/>
          <w:lang w:val="en-US"/>
        </w:rPr>
        <w:t xml:space="preserve"> Lazuli, 2006.</w:t>
      </w:r>
    </w:p>
    <w:p w14:paraId="7E13BACC" w14:textId="77777777" w:rsidR="005238AE" w:rsidRPr="005238AE" w:rsidRDefault="005238AE" w:rsidP="005238AE">
      <w:pPr>
        <w:spacing w:line="240" w:lineRule="auto"/>
        <w:ind w:left="851" w:hanging="851"/>
        <w:rPr>
          <w:bCs/>
          <w:lang w:val="en-US"/>
        </w:rPr>
      </w:pPr>
      <w:r w:rsidRPr="005238AE">
        <w:rPr>
          <w:bCs/>
          <w:lang w:val="en-US"/>
        </w:rPr>
        <w:t xml:space="preserve">CONRAD, J. </w:t>
      </w:r>
      <w:r w:rsidRPr="005238AE">
        <w:rPr>
          <w:bCs/>
          <w:i/>
          <w:lang w:val="en-US"/>
        </w:rPr>
        <w:t>Russia in the financial crisis and beyond</w:t>
      </w:r>
      <w:r w:rsidRPr="005238AE">
        <w:rPr>
          <w:bCs/>
          <w:lang w:val="en-US"/>
        </w:rPr>
        <w:t xml:space="preserve">. </w:t>
      </w:r>
      <w:proofErr w:type="gramStart"/>
      <w:r w:rsidRPr="005238AE">
        <w:rPr>
          <w:bCs/>
          <w:lang w:val="en-US"/>
        </w:rPr>
        <w:t>DEUTSCHE BANK RESEARCH.</w:t>
      </w:r>
      <w:proofErr w:type="gramEnd"/>
      <w:r w:rsidRPr="005238AE">
        <w:rPr>
          <w:bCs/>
          <w:lang w:val="en-US"/>
        </w:rPr>
        <w:t xml:space="preserve"> Dec. 2011. </w:t>
      </w:r>
      <w:proofErr w:type="spellStart"/>
      <w:r w:rsidRPr="005238AE">
        <w:rPr>
          <w:bCs/>
          <w:lang w:val="en-US"/>
        </w:rPr>
        <w:t>Disponível</w:t>
      </w:r>
      <w:proofErr w:type="spellEnd"/>
      <w:r w:rsidRPr="005238AE">
        <w:rPr>
          <w:bCs/>
          <w:lang w:val="en-US"/>
        </w:rPr>
        <w:t xml:space="preserve"> </w:t>
      </w:r>
      <w:proofErr w:type="spellStart"/>
      <w:r w:rsidRPr="005238AE">
        <w:rPr>
          <w:bCs/>
          <w:lang w:val="en-US"/>
        </w:rPr>
        <w:t>em</w:t>
      </w:r>
      <w:proofErr w:type="spellEnd"/>
      <w:r w:rsidRPr="005238AE">
        <w:rPr>
          <w:bCs/>
          <w:lang w:val="en-US"/>
        </w:rPr>
        <w:t>: ww.dbresearch.com</w:t>
      </w:r>
    </w:p>
    <w:p w14:paraId="55F20CC8" w14:textId="77777777" w:rsidR="005238AE" w:rsidRPr="005238AE" w:rsidRDefault="005238AE" w:rsidP="005238AE">
      <w:pPr>
        <w:spacing w:line="240" w:lineRule="auto"/>
        <w:ind w:left="851" w:hanging="851"/>
        <w:rPr>
          <w:bCs/>
          <w:lang w:val="en-US"/>
        </w:rPr>
      </w:pPr>
      <w:r w:rsidRPr="005238AE">
        <w:rPr>
          <w:lang w:val="en-US"/>
        </w:rPr>
        <w:t xml:space="preserve">COOK, R. D. &amp; WEISBERG, S. (1983). </w:t>
      </w:r>
      <w:proofErr w:type="gramStart"/>
      <w:r w:rsidRPr="005238AE">
        <w:rPr>
          <w:i/>
          <w:lang w:val="en-US"/>
        </w:rPr>
        <w:t xml:space="preserve">Diagnostics for </w:t>
      </w:r>
      <w:proofErr w:type="spellStart"/>
      <w:r w:rsidRPr="005238AE">
        <w:rPr>
          <w:i/>
          <w:lang w:val="en-US"/>
        </w:rPr>
        <w:t>heteroscedasticity</w:t>
      </w:r>
      <w:proofErr w:type="spellEnd"/>
      <w:r w:rsidRPr="005238AE">
        <w:rPr>
          <w:i/>
          <w:lang w:val="en-US"/>
        </w:rPr>
        <w:t xml:space="preserve"> in regression</w:t>
      </w:r>
      <w:r w:rsidRPr="005238AE">
        <w:rPr>
          <w:lang w:val="en-US"/>
        </w:rPr>
        <w:t>.</w:t>
      </w:r>
      <w:proofErr w:type="gramEnd"/>
      <w:r w:rsidRPr="005238AE">
        <w:rPr>
          <w:lang w:val="en-US"/>
        </w:rPr>
        <w:t xml:space="preserve"> </w:t>
      </w:r>
      <w:proofErr w:type="spellStart"/>
      <w:proofErr w:type="gramStart"/>
      <w:r w:rsidRPr="005238AE">
        <w:rPr>
          <w:lang w:val="en-GB"/>
        </w:rPr>
        <w:t>Biometrika</w:t>
      </w:r>
      <w:proofErr w:type="spellEnd"/>
      <w:r w:rsidRPr="005238AE">
        <w:rPr>
          <w:lang w:val="en-GB"/>
        </w:rPr>
        <w:t>.</w:t>
      </w:r>
      <w:proofErr w:type="gramEnd"/>
    </w:p>
    <w:p w14:paraId="41E14B6B" w14:textId="77777777" w:rsidR="005238AE" w:rsidRPr="005238AE" w:rsidRDefault="005238AE" w:rsidP="005238AE">
      <w:pPr>
        <w:spacing w:line="240" w:lineRule="auto"/>
        <w:ind w:left="851" w:hanging="851"/>
        <w:rPr>
          <w:bCs/>
          <w:u w:val="single"/>
        </w:rPr>
      </w:pPr>
      <w:proofErr w:type="gramStart"/>
      <w:r w:rsidRPr="005238AE">
        <w:rPr>
          <w:bCs/>
          <w:lang w:val="en-US"/>
        </w:rPr>
        <w:t>DASGUPTA, D. &amp; RATHA, D. (2000).</w:t>
      </w:r>
      <w:proofErr w:type="gramEnd"/>
      <w:r w:rsidRPr="005238AE">
        <w:rPr>
          <w:bCs/>
          <w:lang w:val="en-US"/>
        </w:rPr>
        <w:t xml:space="preserve"> </w:t>
      </w:r>
      <w:r w:rsidRPr="005238AE">
        <w:rPr>
          <w:bCs/>
          <w:i/>
          <w:lang w:val="en-US"/>
        </w:rPr>
        <w:t>What Factors Appear to Drive Private Capital Flows to Developing Countries</w:t>
      </w:r>
      <w:r w:rsidRPr="005238AE">
        <w:rPr>
          <w:bCs/>
          <w:lang w:val="en-US"/>
        </w:rPr>
        <w:t>?</w:t>
      </w:r>
      <w:r w:rsidRPr="005238AE">
        <w:rPr>
          <w:bCs/>
          <w:i/>
          <w:lang w:val="en-US"/>
        </w:rPr>
        <w:t xml:space="preserve"> And How Does Official Lending Respond</w:t>
      </w:r>
      <w:r w:rsidRPr="005238AE">
        <w:rPr>
          <w:bCs/>
          <w:lang w:val="en-US"/>
        </w:rPr>
        <w:t xml:space="preserve">? </w:t>
      </w:r>
      <w:proofErr w:type="gramStart"/>
      <w:r w:rsidRPr="005238AE">
        <w:rPr>
          <w:bCs/>
          <w:lang w:val="en-US"/>
        </w:rPr>
        <w:t>The World Bank, Policy Research Working Papers, No. 2392.</w:t>
      </w:r>
      <w:proofErr w:type="gramEnd"/>
      <w:r w:rsidRPr="005238AE">
        <w:rPr>
          <w:bCs/>
          <w:lang w:val="en-US"/>
        </w:rPr>
        <w:t xml:space="preserve"> </w:t>
      </w:r>
      <w:r w:rsidRPr="005238AE">
        <w:rPr>
          <w:bCs/>
        </w:rPr>
        <w:t xml:space="preserve">Disponível em: </w:t>
      </w:r>
      <w:hyperlink r:id="rId17" w:history="1">
        <w:r w:rsidRPr="005238AE">
          <w:rPr>
            <w:bCs/>
            <w:u w:val="single"/>
          </w:rPr>
          <w:t>http://elibrary.worldbank.org/doi/book/10.1596/1813-9450-2392</w:t>
        </w:r>
      </w:hyperlink>
    </w:p>
    <w:p w14:paraId="7B171DE3" w14:textId="77777777" w:rsidR="005238AE" w:rsidRPr="005238AE" w:rsidRDefault="005238AE" w:rsidP="005238AE">
      <w:pPr>
        <w:spacing w:line="240" w:lineRule="auto"/>
        <w:ind w:left="851" w:hanging="851"/>
        <w:rPr>
          <w:bCs/>
          <w:lang w:val="en-US"/>
        </w:rPr>
      </w:pPr>
      <w:proofErr w:type="gramStart"/>
      <w:r w:rsidRPr="005238AE">
        <w:rPr>
          <w:bCs/>
          <w:lang w:val="en-US"/>
        </w:rPr>
        <w:t>DEQUECH, D. Fundamental uncertainty and ambiguity.</w:t>
      </w:r>
      <w:proofErr w:type="gramEnd"/>
      <w:r w:rsidRPr="005238AE">
        <w:rPr>
          <w:bCs/>
          <w:lang w:val="en-US"/>
        </w:rPr>
        <w:t xml:space="preserve"> Eastern Economic Journal, vol. 26, n. 1, </w:t>
      </w:r>
      <w:proofErr w:type="gramStart"/>
      <w:r w:rsidRPr="005238AE">
        <w:rPr>
          <w:bCs/>
          <w:lang w:val="en-US"/>
        </w:rPr>
        <w:t>Winter</w:t>
      </w:r>
      <w:proofErr w:type="gramEnd"/>
      <w:r w:rsidRPr="005238AE">
        <w:rPr>
          <w:bCs/>
          <w:lang w:val="en-US"/>
        </w:rPr>
        <w:t>, 2000.</w:t>
      </w:r>
    </w:p>
    <w:p w14:paraId="40E27B63" w14:textId="77777777" w:rsidR="005238AE" w:rsidRPr="005238AE" w:rsidRDefault="005238AE" w:rsidP="005238AE">
      <w:pPr>
        <w:spacing w:line="240" w:lineRule="auto"/>
        <w:ind w:left="851" w:hanging="851"/>
        <w:rPr>
          <w:bCs/>
        </w:rPr>
      </w:pPr>
      <w:r w:rsidRPr="005238AE">
        <w:rPr>
          <w:bCs/>
        </w:rPr>
        <w:t xml:space="preserve">DOW, S.C. </w:t>
      </w:r>
      <w:r w:rsidRPr="005238AE">
        <w:rPr>
          <w:bCs/>
          <w:i/>
        </w:rPr>
        <w:t xml:space="preserve">Post </w:t>
      </w:r>
      <w:proofErr w:type="spellStart"/>
      <w:r w:rsidRPr="005238AE">
        <w:rPr>
          <w:bCs/>
          <w:i/>
        </w:rPr>
        <w:t>Keynesian</w:t>
      </w:r>
      <w:proofErr w:type="spellEnd"/>
      <w:r w:rsidRPr="005238AE">
        <w:rPr>
          <w:bCs/>
          <w:i/>
        </w:rPr>
        <w:t xml:space="preserve"> </w:t>
      </w:r>
      <w:proofErr w:type="spellStart"/>
      <w:r w:rsidRPr="005238AE">
        <w:rPr>
          <w:bCs/>
          <w:i/>
        </w:rPr>
        <w:t>monetary</w:t>
      </w:r>
      <w:proofErr w:type="spellEnd"/>
      <w:r w:rsidRPr="005238AE">
        <w:rPr>
          <w:bCs/>
          <w:i/>
        </w:rPr>
        <w:t xml:space="preserve"> </w:t>
      </w:r>
      <w:proofErr w:type="spellStart"/>
      <w:r w:rsidRPr="005238AE">
        <w:rPr>
          <w:bCs/>
          <w:i/>
        </w:rPr>
        <w:t>theory</w:t>
      </w:r>
      <w:proofErr w:type="spellEnd"/>
      <w:r w:rsidRPr="005238AE">
        <w:rPr>
          <w:bCs/>
          <w:i/>
        </w:rPr>
        <w:t xml:space="preserve"> for </w:t>
      </w:r>
      <w:proofErr w:type="spellStart"/>
      <w:r w:rsidRPr="005238AE">
        <w:rPr>
          <w:bCs/>
          <w:i/>
        </w:rPr>
        <w:t>an</w:t>
      </w:r>
      <w:proofErr w:type="spellEnd"/>
      <w:r w:rsidRPr="005238AE">
        <w:rPr>
          <w:bCs/>
          <w:i/>
        </w:rPr>
        <w:t xml:space="preserve"> open </w:t>
      </w:r>
      <w:proofErr w:type="spellStart"/>
      <w:r w:rsidRPr="005238AE">
        <w:rPr>
          <w:bCs/>
          <w:i/>
        </w:rPr>
        <w:t>economy</w:t>
      </w:r>
      <w:proofErr w:type="spellEnd"/>
      <w:r w:rsidRPr="005238AE">
        <w:rPr>
          <w:bCs/>
        </w:rPr>
        <w:t xml:space="preserve">. </w:t>
      </w:r>
      <w:proofErr w:type="spellStart"/>
      <w:r w:rsidRPr="005238AE">
        <w:rPr>
          <w:bCs/>
        </w:rPr>
        <w:t>Journal</w:t>
      </w:r>
      <w:proofErr w:type="spellEnd"/>
      <w:r w:rsidRPr="005238AE">
        <w:rPr>
          <w:bCs/>
        </w:rPr>
        <w:t xml:space="preserve"> </w:t>
      </w:r>
      <w:proofErr w:type="spellStart"/>
      <w:r w:rsidRPr="005238AE">
        <w:rPr>
          <w:bCs/>
        </w:rPr>
        <w:t>of</w:t>
      </w:r>
      <w:proofErr w:type="spellEnd"/>
      <w:r w:rsidRPr="005238AE">
        <w:rPr>
          <w:bCs/>
        </w:rPr>
        <w:t xml:space="preserve"> Post </w:t>
      </w:r>
      <w:proofErr w:type="spellStart"/>
      <w:r w:rsidRPr="005238AE">
        <w:rPr>
          <w:bCs/>
        </w:rPr>
        <w:t>Keynesian</w:t>
      </w:r>
      <w:proofErr w:type="spellEnd"/>
      <w:r w:rsidRPr="005238AE">
        <w:rPr>
          <w:bCs/>
        </w:rPr>
        <w:t xml:space="preserve"> </w:t>
      </w:r>
      <w:proofErr w:type="spellStart"/>
      <w:r w:rsidRPr="005238AE">
        <w:rPr>
          <w:bCs/>
        </w:rPr>
        <w:t>Economics</w:t>
      </w:r>
      <w:proofErr w:type="spellEnd"/>
      <w:r w:rsidRPr="005238AE">
        <w:rPr>
          <w:bCs/>
        </w:rPr>
        <w:t xml:space="preserve">, </w:t>
      </w:r>
      <w:proofErr w:type="spellStart"/>
      <w:r w:rsidRPr="005238AE">
        <w:rPr>
          <w:bCs/>
        </w:rPr>
        <w:t>Armonk</w:t>
      </w:r>
      <w:proofErr w:type="spellEnd"/>
      <w:r w:rsidRPr="005238AE">
        <w:rPr>
          <w:bCs/>
        </w:rPr>
        <w:t xml:space="preserve">, v. 9, n. 2, p. 237-257, </w:t>
      </w:r>
      <w:proofErr w:type="spellStart"/>
      <w:r w:rsidRPr="005238AE">
        <w:rPr>
          <w:bCs/>
        </w:rPr>
        <w:t>Winter</w:t>
      </w:r>
      <w:proofErr w:type="spellEnd"/>
      <w:r w:rsidRPr="005238AE">
        <w:rPr>
          <w:bCs/>
        </w:rPr>
        <w:t xml:space="preserve">, 1986/87. DOW, </w:t>
      </w:r>
      <w:proofErr w:type="gramStart"/>
      <w:r w:rsidRPr="005238AE">
        <w:rPr>
          <w:bCs/>
        </w:rPr>
        <w:t>S.C.</w:t>
      </w:r>
      <w:proofErr w:type="gramEnd"/>
      <w:r w:rsidRPr="005238AE">
        <w:rPr>
          <w:bCs/>
        </w:rPr>
        <w:t xml:space="preserve">(1993) Money </w:t>
      </w:r>
      <w:proofErr w:type="spellStart"/>
      <w:r w:rsidRPr="005238AE">
        <w:rPr>
          <w:bCs/>
        </w:rPr>
        <w:t>and</w:t>
      </w:r>
      <w:proofErr w:type="spellEnd"/>
      <w:r w:rsidRPr="005238AE">
        <w:rPr>
          <w:bCs/>
        </w:rPr>
        <w:t xml:space="preserve"> </w:t>
      </w:r>
      <w:proofErr w:type="spellStart"/>
      <w:r w:rsidRPr="005238AE">
        <w:rPr>
          <w:bCs/>
        </w:rPr>
        <w:t>the</w:t>
      </w:r>
      <w:proofErr w:type="spellEnd"/>
      <w:r w:rsidRPr="005238AE">
        <w:rPr>
          <w:bCs/>
        </w:rPr>
        <w:t xml:space="preserve"> </w:t>
      </w:r>
      <w:proofErr w:type="spellStart"/>
      <w:r w:rsidRPr="005238AE">
        <w:rPr>
          <w:bCs/>
        </w:rPr>
        <w:t>economic</w:t>
      </w:r>
      <w:proofErr w:type="spellEnd"/>
      <w:r w:rsidRPr="005238AE">
        <w:rPr>
          <w:bCs/>
        </w:rPr>
        <w:t xml:space="preserve"> </w:t>
      </w:r>
      <w:proofErr w:type="spellStart"/>
      <w:r w:rsidRPr="005238AE">
        <w:rPr>
          <w:bCs/>
        </w:rPr>
        <w:t>process</w:t>
      </w:r>
      <w:proofErr w:type="spellEnd"/>
      <w:r w:rsidRPr="005238AE">
        <w:rPr>
          <w:bCs/>
        </w:rPr>
        <w:t xml:space="preserve">. </w:t>
      </w:r>
      <w:proofErr w:type="spellStart"/>
      <w:r w:rsidRPr="005238AE">
        <w:rPr>
          <w:bCs/>
        </w:rPr>
        <w:t>Aldershot</w:t>
      </w:r>
      <w:proofErr w:type="spellEnd"/>
      <w:r w:rsidRPr="005238AE">
        <w:rPr>
          <w:bCs/>
        </w:rPr>
        <w:t xml:space="preserve">, Edward </w:t>
      </w:r>
      <w:proofErr w:type="spellStart"/>
      <w:r w:rsidRPr="005238AE">
        <w:rPr>
          <w:bCs/>
        </w:rPr>
        <w:t>Elgar</w:t>
      </w:r>
      <w:proofErr w:type="spellEnd"/>
      <w:r w:rsidRPr="005238AE">
        <w:rPr>
          <w:bCs/>
        </w:rPr>
        <w:t>.</w:t>
      </w:r>
    </w:p>
    <w:p w14:paraId="4BA44A6C" w14:textId="77777777" w:rsidR="005238AE" w:rsidRPr="005238AE" w:rsidRDefault="005238AE" w:rsidP="005238AE">
      <w:pPr>
        <w:spacing w:line="240" w:lineRule="auto"/>
        <w:ind w:left="851" w:hanging="851"/>
        <w:rPr>
          <w:lang w:val="en-US"/>
        </w:rPr>
      </w:pPr>
      <w:r w:rsidRPr="005238AE">
        <w:t xml:space="preserve">EDISON, H. J. </w:t>
      </w:r>
      <w:r w:rsidRPr="005238AE">
        <w:rPr>
          <w:bCs/>
        </w:rPr>
        <w:t>&amp;</w:t>
      </w:r>
      <w:r w:rsidRPr="005238AE">
        <w:t xml:space="preserve"> WARNOCK, F. E</w:t>
      </w:r>
      <w:proofErr w:type="gramStart"/>
      <w:r w:rsidRPr="005238AE">
        <w:t>.,</w:t>
      </w:r>
      <w:proofErr w:type="gramEnd"/>
      <w:r w:rsidRPr="005238AE">
        <w:t xml:space="preserve"> 2008. </w:t>
      </w:r>
      <w:hyperlink r:id="rId18" w:history="1">
        <w:r w:rsidRPr="005238AE">
          <w:rPr>
            <w:bCs/>
            <w:i/>
            <w:u w:val="single"/>
            <w:lang w:val="en-US"/>
          </w:rPr>
          <w:t>Cross-border listings, capital controls, and equity flows to emerging markets</w:t>
        </w:r>
      </w:hyperlink>
      <w:r w:rsidRPr="005238AE">
        <w:rPr>
          <w:lang w:val="en-US"/>
        </w:rPr>
        <w:t>, </w:t>
      </w:r>
      <w:hyperlink r:id="rId19" w:history="1">
        <w:r w:rsidRPr="005238AE">
          <w:rPr>
            <w:u w:val="single"/>
            <w:lang w:val="en-US"/>
          </w:rPr>
          <w:t>Journal of International Money and Finance</w:t>
        </w:r>
      </w:hyperlink>
      <w:r w:rsidRPr="005238AE">
        <w:rPr>
          <w:lang w:val="en-US"/>
        </w:rPr>
        <w:t>, Elsevier, vol. 27(6), pages 1013-1027, October.</w:t>
      </w:r>
    </w:p>
    <w:p w14:paraId="78C7F9AE" w14:textId="77777777" w:rsidR="005238AE" w:rsidRPr="005238AE" w:rsidRDefault="005238AE" w:rsidP="005238AE">
      <w:pPr>
        <w:spacing w:line="240" w:lineRule="auto"/>
        <w:ind w:left="851" w:hanging="851"/>
        <w:rPr>
          <w:bCs/>
          <w:lang w:val="en-US"/>
        </w:rPr>
      </w:pPr>
      <w:r w:rsidRPr="005238AE">
        <w:rPr>
          <w:bCs/>
          <w:lang w:val="en-US"/>
        </w:rPr>
        <w:t xml:space="preserve">EDWARDS, S. </w:t>
      </w:r>
      <w:r w:rsidRPr="005238AE">
        <w:rPr>
          <w:bCs/>
          <w:i/>
          <w:lang w:val="en-US"/>
        </w:rPr>
        <w:t>Exchange Rates in Emerging Countries: Eleven Empirical Regularities from Latin America and East Asia</w:t>
      </w:r>
      <w:r w:rsidRPr="005238AE">
        <w:rPr>
          <w:bCs/>
          <w:lang w:val="en-US"/>
        </w:rPr>
        <w:t xml:space="preserve">. NBER Working Paper No. 17074. </w:t>
      </w:r>
      <w:proofErr w:type="spellStart"/>
      <w:r w:rsidRPr="005238AE">
        <w:rPr>
          <w:bCs/>
          <w:lang w:val="en-US"/>
        </w:rPr>
        <w:t>Disponível</w:t>
      </w:r>
      <w:proofErr w:type="spellEnd"/>
      <w:r w:rsidRPr="005238AE">
        <w:rPr>
          <w:bCs/>
          <w:lang w:val="en-US"/>
        </w:rPr>
        <w:t xml:space="preserve"> </w:t>
      </w:r>
      <w:proofErr w:type="spellStart"/>
      <w:r w:rsidRPr="005238AE">
        <w:rPr>
          <w:bCs/>
          <w:lang w:val="en-US"/>
        </w:rPr>
        <w:t>em</w:t>
      </w:r>
      <w:proofErr w:type="spellEnd"/>
      <w:r w:rsidRPr="005238AE">
        <w:rPr>
          <w:bCs/>
          <w:lang w:val="en-US"/>
        </w:rPr>
        <w:t>: www.nber.org/papers/w17074</w:t>
      </w:r>
    </w:p>
    <w:p w14:paraId="2AC2905B" w14:textId="77777777" w:rsidR="005238AE" w:rsidRPr="005238AE" w:rsidRDefault="005238AE" w:rsidP="005238AE">
      <w:pPr>
        <w:spacing w:line="240" w:lineRule="auto"/>
        <w:ind w:left="851" w:hanging="851"/>
        <w:rPr>
          <w:lang w:val="en-US"/>
        </w:rPr>
      </w:pPr>
      <w:r w:rsidRPr="005238AE">
        <w:rPr>
          <w:bCs/>
          <w:lang w:val="en-US"/>
        </w:rPr>
        <w:t>FERNANDEZ-ARIAS, E. (</w:t>
      </w:r>
      <w:r w:rsidRPr="005238AE">
        <w:rPr>
          <w:lang w:val="en-US"/>
        </w:rPr>
        <w:t xml:space="preserve">1996). </w:t>
      </w:r>
      <w:hyperlink r:id="rId20" w:history="1">
        <w:r w:rsidRPr="005238AE">
          <w:rPr>
            <w:bCs/>
            <w:i/>
            <w:lang w:val="en-US"/>
          </w:rPr>
          <w:t>The new wave of private capital inflows: Push or pull</w:t>
        </w:r>
        <w:r w:rsidRPr="005238AE">
          <w:rPr>
            <w:bCs/>
            <w:lang w:val="en-US"/>
          </w:rPr>
          <w:t>?</w:t>
        </w:r>
      </w:hyperlink>
      <w:r w:rsidRPr="005238AE">
        <w:rPr>
          <w:lang w:val="en-US"/>
        </w:rPr>
        <w:t>, </w:t>
      </w:r>
      <w:hyperlink r:id="rId21" w:history="1">
        <w:r w:rsidRPr="005238AE">
          <w:rPr>
            <w:lang w:val="en-US"/>
          </w:rPr>
          <w:t>Journal of Development Economics</w:t>
        </w:r>
      </w:hyperlink>
      <w:r w:rsidRPr="005238AE">
        <w:rPr>
          <w:lang w:val="en-US"/>
        </w:rPr>
        <w:t>, Elsevier, vol. 48(2), pages 389-418, March.</w:t>
      </w:r>
    </w:p>
    <w:p w14:paraId="0528CE8D" w14:textId="77777777" w:rsidR="005238AE" w:rsidRPr="005238AE" w:rsidRDefault="005238AE" w:rsidP="005238AE">
      <w:pPr>
        <w:spacing w:line="240" w:lineRule="auto"/>
        <w:ind w:left="851" w:hanging="851"/>
        <w:rPr>
          <w:bCs/>
          <w:lang w:val="en-US"/>
        </w:rPr>
      </w:pPr>
      <w:r w:rsidRPr="005238AE">
        <w:rPr>
          <w:bCs/>
          <w:lang w:val="en-US"/>
        </w:rPr>
        <w:t xml:space="preserve">GREENE, W.H. (2000), </w:t>
      </w:r>
      <w:r w:rsidRPr="005238AE">
        <w:rPr>
          <w:bCs/>
          <w:i/>
          <w:lang w:val="en-US"/>
        </w:rPr>
        <w:t>Econometric Analysis</w:t>
      </w:r>
      <w:r w:rsidRPr="005238AE">
        <w:rPr>
          <w:bCs/>
          <w:lang w:val="en-US"/>
        </w:rPr>
        <w:t>, 4th ed., Upper Saddle River, NJ: Prentice Hall.</w:t>
      </w:r>
    </w:p>
    <w:p w14:paraId="0988A263" w14:textId="77777777" w:rsidR="005238AE" w:rsidRPr="005238AE" w:rsidRDefault="005238AE" w:rsidP="005238AE">
      <w:pPr>
        <w:spacing w:line="240" w:lineRule="auto"/>
        <w:ind w:left="851" w:hanging="851"/>
        <w:rPr>
          <w:bCs/>
        </w:rPr>
      </w:pPr>
      <w:r w:rsidRPr="005238AE">
        <w:rPr>
          <w:bCs/>
        </w:rPr>
        <w:t xml:space="preserve">HERNANDEZ, L., MELLADO, P. &amp; VALDEZ, R. (2001). </w:t>
      </w:r>
      <w:r w:rsidRPr="005238AE">
        <w:rPr>
          <w:bCs/>
          <w:i/>
          <w:lang w:val="en-US"/>
        </w:rPr>
        <w:t>Determinants of Private Capital Flows in the 1970s and 1990s: Is There Evidence of Contagion</w:t>
      </w:r>
      <w:r w:rsidRPr="005238AE">
        <w:rPr>
          <w:bCs/>
          <w:lang w:val="en-US"/>
        </w:rPr>
        <w:t xml:space="preserve">? </w:t>
      </w:r>
      <w:r w:rsidRPr="005238AE">
        <w:rPr>
          <w:bCs/>
        </w:rPr>
        <w:t xml:space="preserve">IMF </w:t>
      </w:r>
      <w:proofErr w:type="spellStart"/>
      <w:r w:rsidRPr="005238AE">
        <w:rPr>
          <w:bCs/>
        </w:rPr>
        <w:t>Working</w:t>
      </w:r>
      <w:proofErr w:type="spellEnd"/>
      <w:r w:rsidRPr="005238AE">
        <w:rPr>
          <w:bCs/>
        </w:rPr>
        <w:t xml:space="preserve"> </w:t>
      </w:r>
      <w:proofErr w:type="spellStart"/>
      <w:r w:rsidRPr="005238AE">
        <w:rPr>
          <w:bCs/>
        </w:rPr>
        <w:t>Paper</w:t>
      </w:r>
      <w:proofErr w:type="spellEnd"/>
      <w:r w:rsidRPr="005238AE">
        <w:rPr>
          <w:bCs/>
        </w:rPr>
        <w:t>, No. 01/64. Disponível em: http://www.imf.org/external/pubs/ft/wp/2001/wp0164.pdf</w:t>
      </w:r>
    </w:p>
    <w:p w14:paraId="59CA550E" w14:textId="77777777" w:rsidR="005238AE" w:rsidRPr="005238AE" w:rsidRDefault="005238AE" w:rsidP="005238AE">
      <w:pPr>
        <w:spacing w:line="240" w:lineRule="auto"/>
        <w:ind w:left="851" w:hanging="851"/>
        <w:rPr>
          <w:bCs/>
          <w:lang w:val="en-US"/>
        </w:rPr>
      </w:pPr>
      <w:r w:rsidRPr="005238AE">
        <w:rPr>
          <w:bCs/>
          <w:lang w:val="en-US"/>
        </w:rPr>
        <w:lastRenderedPageBreak/>
        <w:t xml:space="preserve">HOTI, S. (2004) </w:t>
      </w:r>
      <w:proofErr w:type="gramStart"/>
      <w:r w:rsidRPr="005238AE">
        <w:rPr>
          <w:bCs/>
          <w:i/>
          <w:lang w:val="en-US"/>
        </w:rPr>
        <w:t>An</w:t>
      </w:r>
      <w:proofErr w:type="gramEnd"/>
      <w:r w:rsidRPr="005238AE">
        <w:rPr>
          <w:bCs/>
          <w:i/>
          <w:lang w:val="en-US"/>
        </w:rPr>
        <w:t xml:space="preserve"> empirical evaluation of international capital flows for developing countries</w:t>
      </w:r>
      <w:r w:rsidRPr="005238AE">
        <w:rPr>
          <w:bCs/>
          <w:lang w:val="en-US"/>
        </w:rPr>
        <w:t xml:space="preserve">. </w:t>
      </w:r>
      <w:proofErr w:type="gramStart"/>
      <w:r w:rsidRPr="005238AE">
        <w:rPr>
          <w:bCs/>
          <w:lang w:val="en-US"/>
        </w:rPr>
        <w:t>Mathematics and computers in simulation, v 64.</w:t>
      </w:r>
      <w:proofErr w:type="gramEnd"/>
    </w:p>
    <w:p w14:paraId="422DD08E" w14:textId="77777777" w:rsidR="005238AE" w:rsidRPr="005238AE" w:rsidRDefault="005238AE" w:rsidP="005238AE">
      <w:pPr>
        <w:spacing w:line="240" w:lineRule="auto"/>
        <w:ind w:left="851" w:hanging="851"/>
        <w:rPr>
          <w:bCs/>
          <w:lang w:val="en-US"/>
        </w:rPr>
      </w:pPr>
      <w:proofErr w:type="gramStart"/>
      <w:r w:rsidRPr="005238AE">
        <w:rPr>
          <w:bCs/>
          <w:lang w:val="en-US"/>
        </w:rPr>
        <w:t>IMK.;</w:t>
      </w:r>
      <w:proofErr w:type="gramEnd"/>
      <w:r w:rsidRPr="005238AE">
        <w:rPr>
          <w:bCs/>
          <w:lang w:val="en-US"/>
        </w:rPr>
        <w:t xml:space="preserve"> e AHN, S. C.; SCHMIDT, P.; &amp; WOOLDRIDGE, J. M. (1999). </w:t>
      </w:r>
      <w:r w:rsidRPr="005238AE">
        <w:rPr>
          <w:bCs/>
          <w:i/>
          <w:lang w:val="en-US"/>
        </w:rPr>
        <w:t>Efficient estimation of panel data models with strictly exogenous explanatory variables</w:t>
      </w:r>
      <w:r w:rsidRPr="005238AE">
        <w:rPr>
          <w:bCs/>
          <w:lang w:val="en-US"/>
        </w:rPr>
        <w:t>. Elsevier, vol. 93(1), pages 177-201, November.</w:t>
      </w:r>
    </w:p>
    <w:p w14:paraId="72A6A296" w14:textId="77777777" w:rsidR="005238AE" w:rsidRPr="005238AE" w:rsidRDefault="005238AE" w:rsidP="005238AE">
      <w:pPr>
        <w:spacing w:line="240" w:lineRule="auto"/>
        <w:ind w:left="851" w:hanging="851"/>
        <w:rPr>
          <w:bCs/>
          <w:lang w:val="en-US"/>
        </w:rPr>
      </w:pPr>
      <w:proofErr w:type="gramStart"/>
      <w:r w:rsidRPr="005238AE">
        <w:rPr>
          <w:bCs/>
          <w:lang w:val="en-US"/>
        </w:rPr>
        <w:t xml:space="preserve">ISARD, P. </w:t>
      </w:r>
      <w:r w:rsidRPr="005238AE">
        <w:rPr>
          <w:bCs/>
          <w:i/>
          <w:lang w:val="en-US"/>
        </w:rPr>
        <w:t>Globalization and the International Financial System</w:t>
      </w:r>
      <w:r w:rsidRPr="005238AE">
        <w:rPr>
          <w:bCs/>
          <w:lang w:val="en-US"/>
        </w:rPr>
        <w:t>.</w:t>
      </w:r>
      <w:proofErr w:type="gramEnd"/>
      <w:r w:rsidRPr="005238AE">
        <w:rPr>
          <w:bCs/>
          <w:lang w:val="en-US"/>
        </w:rPr>
        <w:t xml:space="preserve"> Cambridge: Cambridge University Press, 2005.</w:t>
      </w:r>
    </w:p>
    <w:p w14:paraId="7DB84DDF" w14:textId="77777777" w:rsidR="005238AE" w:rsidRPr="005238AE" w:rsidRDefault="005238AE" w:rsidP="005238AE">
      <w:pPr>
        <w:spacing w:line="240" w:lineRule="auto"/>
        <w:ind w:left="851" w:hanging="851"/>
        <w:rPr>
          <w:bCs/>
          <w:lang w:val="en-US"/>
        </w:rPr>
      </w:pPr>
      <w:r w:rsidRPr="005238AE">
        <w:rPr>
          <w:bCs/>
          <w:lang w:val="en-US"/>
        </w:rPr>
        <w:t xml:space="preserve">KEYNES, J. M. </w:t>
      </w:r>
      <w:proofErr w:type="gramStart"/>
      <w:r w:rsidRPr="005238AE">
        <w:rPr>
          <w:bCs/>
          <w:i/>
          <w:lang w:val="en-US"/>
        </w:rPr>
        <w:t>The general theory of employment</w:t>
      </w:r>
      <w:r w:rsidRPr="005238AE">
        <w:rPr>
          <w:bCs/>
          <w:lang w:val="en-US"/>
        </w:rPr>
        <w:t>.</w:t>
      </w:r>
      <w:proofErr w:type="gramEnd"/>
      <w:r w:rsidRPr="005238AE">
        <w:rPr>
          <w:bCs/>
          <w:lang w:val="en-US"/>
        </w:rPr>
        <w:t xml:space="preserve"> The Quarterly Journal of Economics, February, 1937.</w:t>
      </w:r>
    </w:p>
    <w:p w14:paraId="22906E1B" w14:textId="77777777" w:rsidR="005238AE" w:rsidRPr="005238AE" w:rsidRDefault="005238AE" w:rsidP="005238AE">
      <w:pPr>
        <w:spacing w:line="240" w:lineRule="auto"/>
        <w:ind w:left="851" w:hanging="851"/>
        <w:rPr>
          <w:bCs/>
          <w:lang w:val="en-US"/>
        </w:rPr>
      </w:pPr>
      <w:r w:rsidRPr="005238AE">
        <w:t xml:space="preserve">_______. </w:t>
      </w:r>
      <w:r w:rsidRPr="005238AE">
        <w:rPr>
          <w:bCs/>
          <w:lang w:val="en-US"/>
        </w:rPr>
        <w:t xml:space="preserve">(1983). A </w:t>
      </w:r>
      <w:proofErr w:type="spellStart"/>
      <w:r w:rsidRPr="005238AE">
        <w:rPr>
          <w:bCs/>
          <w:lang w:val="en-US"/>
        </w:rPr>
        <w:t>teoria</w:t>
      </w:r>
      <w:proofErr w:type="spellEnd"/>
      <w:r w:rsidRPr="005238AE">
        <w:rPr>
          <w:bCs/>
          <w:lang w:val="en-US"/>
        </w:rPr>
        <w:t xml:space="preserve"> </w:t>
      </w:r>
      <w:proofErr w:type="spellStart"/>
      <w:r w:rsidRPr="005238AE">
        <w:rPr>
          <w:bCs/>
          <w:lang w:val="en-US"/>
        </w:rPr>
        <w:t>geral</w:t>
      </w:r>
      <w:proofErr w:type="spellEnd"/>
      <w:r w:rsidRPr="005238AE">
        <w:rPr>
          <w:bCs/>
          <w:lang w:val="en-US"/>
        </w:rPr>
        <w:t xml:space="preserve"> do </w:t>
      </w:r>
      <w:proofErr w:type="spellStart"/>
      <w:r w:rsidRPr="005238AE">
        <w:rPr>
          <w:bCs/>
          <w:lang w:val="en-US"/>
        </w:rPr>
        <w:t>emprego</w:t>
      </w:r>
      <w:proofErr w:type="spellEnd"/>
      <w:r w:rsidRPr="005238AE">
        <w:rPr>
          <w:bCs/>
          <w:lang w:val="en-US"/>
        </w:rPr>
        <w:t xml:space="preserve"> do </w:t>
      </w:r>
      <w:proofErr w:type="spellStart"/>
      <w:r w:rsidRPr="005238AE">
        <w:rPr>
          <w:bCs/>
          <w:lang w:val="en-US"/>
        </w:rPr>
        <w:t>juro</w:t>
      </w:r>
      <w:proofErr w:type="spellEnd"/>
      <w:r w:rsidRPr="005238AE">
        <w:rPr>
          <w:bCs/>
          <w:lang w:val="en-US"/>
        </w:rPr>
        <w:t xml:space="preserve"> e do </w:t>
      </w:r>
      <w:proofErr w:type="spellStart"/>
      <w:r w:rsidRPr="005238AE">
        <w:rPr>
          <w:bCs/>
          <w:lang w:val="en-US"/>
        </w:rPr>
        <w:t>dinheiro</w:t>
      </w:r>
      <w:proofErr w:type="spellEnd"/>
      <w:r w:rsidRPr="005238AE">
        <w:rPr>
          <w:bCs/>
          <w:lang w:val="en-US"/>
        </w:rPr>
        <w:t xml:space="preserve">. São Paulo: </w:t>
      </w:r>
      <w:proofErr w:type="spellStart"/>
      <w:r w:rsidRPr="005238AE">
        <w:rPr>
          <w:bCs/>
          <w:lang w:val="en-US"/>
        </w:rPr>
        <w:t>Editora</w:t>
      </w:r>
      <w:proofErr w:type="spellEnd"/>
      <w:r w:rsidRPr="005238AE">
        <w:rPr>
          <w:bCs/>
          <w:lang w:val="en-US"/>
        </w:rPr>
        <w:t xml:space="preserve"> </w:t>
      </w:r>
      <w:proofErr w:type="spellStart"/>
      <w:r w:rsidRPr="005238AE">
        <w:rPr>
          <w:bCs/>
          <w:lang w:val="en-US"/>
        </w:rPr>
        <w:t>Abril</w:t>
      </w:r>
      <w:proofErr w:type="spellEnd"/>
      <w:r w:rsidRPr="005238AE">
        <w:rPr>
          <w:bCs/>
          <w:lang w:val="en-US"/>
        </w:rPr>
        <w:t xml:space="preserve">, </w:t>
      </w:r>
      <w:proofErr w:type="spellStart"/>
      <w:r w:rsidRPr="005238AE">
        <w:rPr>
          <w:bCs/>
          <w:lang w:val="en-US"/>
        </w:rPr>
        <w:t>Coleção</w:t>
      </w:r>
      <w:proofErr w:type="spellEnd"/>
      <w:r w:rsidRPr="005238AE">
        <w:rPr>
          <w:bCs/>
          <w:lang w:val="en-US"/>
        </w:rPr>
        <w:t xml:space="preserve"> </w:t>
      </w:r>
      <w:proofErr w:type="spellStart"/>
      <w:r w:rsidRPr="005238AE">
        <w:rPr>
          <w:bCs/>
          <w:lang w:val="en-US"/>
        </w:rPr>
        <w:t>Os</w:t>
      </w:r>
      <w:proofErr w:type="spellEnd"/>
      <w:r w:rsidRPr="005238AE">
        <w:rPr>
          <w:bCs/>
          <w:lang w:val="en-US"/>
        </w:rPr>
        <w:t xml:space="preserve"> </w:t>
      </w:r>
      <w:proofErr w:type="spellStart"/>
      <w:r w:rsidRPr="005238AE">
        <w:rPr>
          <w:bCs/>
          <w:lang w:val="en-US"/>
        </w:rPr>
        <w:t>economistas</w:t>
      </w:r>
      <w:proofErr w:type="spellEnd"/>
      <w:r w:rsidRPr="005238AE">
        <w:rPr>
          <w:bCs/>
          <w:lang w:val="en-US"/>
        </w:rPr>
        <w:t>.</w:t>
      </w:r>
    </w:p>
    <w:p w14:paraId="19DCD2A9" w14:textId="77777777" w:rsidR="005238AE" w:rsidRPr="005238AE" w:rsidRDefault="005238AE" w:rsidP="005238AE">
      <w:pPr>
        <w:spacing w:line="240" w:lineRule="auto"/>
        <w:ind w:left="851" w:hanging="851"/>
        <w:rPr>
          <w:lang w:val="en-US"/>
        </w:rPr>
      </w:pPr>
      <w:r w:rsidRPr="005238AE">
        <w:rPr>
          <w:lang w:val="en-US"/>
        </w:rPr>
        <w:t xml:space="preserve">KIM, Y. (2000). </w:t>
      </w:r>
      <w:proofErr w:type="gramStart"/>
      <w:r w:rsidRPr="005238AE">
        <w:rPr>
          <w:i/>
          <w:lang w:val="en-US"/>
        </w:rPr>
        <w:t>Causes of Capital Flows in Developing Countries</w:t>
      </w:r>
      <w:r w:rsidRPr="005238AE">
        <w:rPr>
          <w:lang w:val="en-US"/>
        </w:rPr>
        <w:t>.</w:t>
      </w:r>
      <w:proofErr w:type="gramEnd"/>
      <w:r w:rsidRPr="005238AE">
        <w:rPr>
          <w:lang w:val="en-US"/>
        </w:rPr>
        <w:t xml:space="preserve"> Journal of International Money and Finance: 19. </w:t>
      </w:r>
      <w:proofErr w:type="spellStart"/>
      <w:r w:rsidRPr="005238AE">
        <w:rPr>
          <w:lang w:val="en-US"/>
        </w:rPr>
        <w:t>Disponível</w:t>
      </w:r>
      <w:proofErr w:type="spellEnd"/>
      <w:r w:rsidRPr="005238AE">
        <w:rPr>
          <w:lang w:val="en-US"/>
        </w:rPr>
        <w:t xml:space="preserve"> </w:t>
      </w:r>
      <w:proofErr w:type="spellStart"/>
      <w:r w:rsidRPr="005238AE">
        <w:rPr>
          <w:lang w:val="en-US"/>
        </w:rPr>
        <w:t>em</w:t>
      </w:r>
      <w:proofErr w:type="spellEnd"/>
      <w:r w:rsidRPr="005238AE">
        <w:rPr>
          <w:lang w:val="en-US"/>
        </w:rPr>
        <w:t>: http://www.sciencedirect.com</w:t>
      </w:r>
    </w:p>
    <w:p w14:paraId="478A507F" w14:textId="77777777" w:rsidR="005238AE" w:rsidRPr="005238AE" w:rsidRDefault="005238AE" w:rsidP="005238AE">
      <w:pPr>
        <w:spacing w:line="240" w:lineRule="auto"/>
        <w:ind w:left="851" w:hanging="851"/>
        <w:rPr>
          <w:lang w:val="en-GB"/>
        </w:rPr>
      </w:pPr>
      <w:proofErr w:type="gramStart"/>
      <w:r w:rsidRPr="005238AE">
        <w:rPr>
          <w:lang w:val="en-US"/>
        </w:rPr>
        <w:t xml:space="preserve">MODY, A; Taylor M. P., </w:t>
      </w:r>
      <w:r w:rsidRPr="005238AE">
        <w:rPr>
          <w:bCs/>
          <w:lang w:val="en-US"/>
        </w:rPr>
        <w:t xml:space="preserve">&amp; </w:t>
      </w:r>
      <w:r w:rsidRPr="005238AE">
        <w:rPr>
          <w:lang w:val="en-US"/>
        </w:rPr>
        <w:t>KIM, J. Y. (2001).</w:t>
      </w:r>
      <w:proofErr w:type="gramEnd"/>
      <w:r w:rsidRPr="005238AE">
        <w:rPr>
          <w:lang w:val="en-US"/>
        </w:rPr>
        <w:t xml:space="preserve"> </w:t>
      </w:r>
      <w:proofErr w:type="gramStart"/>
      <w:r w:rsidRPr="005238AE">
        <w:rPr>
          <w:i/>
          <w:lang w:val="en-US"/>
        </w:rPr>
        <w:t>Modeling Fundamentals for Forecasting Capital Flows to Emerging Markets</w:t>
      </w:r>
      <w:r w:rsidRPr="005238AE">
        <w:rPr>
          <w:lang w:val="en-US"/>
        </w:rPr>
        <w:t>.</w:t>
      </w:r>
      <w:proofErr w:type="gramEnd"/>
      <w:r w:rsidRPr="005238AE">
        <w:rPr>
          <w:lang w:val="en-US"/>
        </w:rPr>
        <w:t xml:space="preserve"> </w:t>
      </w:r>
      <w:r w:rsidRPr="005238AE">
        <w:rPr>
          <w:lang w:val="en-GB"/>
        </w:rPr>
        <w:t xml:space="preserve">International Journal of Finance and Economics: 6. </w:t>
      </w:r>
      <w:proofErr w:type="spellStart"/>
      <w:r w:rsidRPr="005238AE">
        <w:rPr>
          <w:lang w:val="en-GB"/>
        </w:rPr>
        <w:t>Disponível</w:t>
      </w:r>
      <w:proofErr w:type="spellEnd"/>
      <w:r w:rsidRPr="005238AE">
        <w:rPr>
          <w:lang w:val="en-GB"/>
        </w:rPr>
        <w:t xml:space="preserve"> </w:t>
      </w:r>
      <w:proofErr w:type="spellStart"/>
      <w:r w:rsidRPr="005238AE">
        <w:rPr>
          <w:lang w:val="en-GB"/>
        </w:rPr>
        <w:t>em</w:t>
      </w:r>
      <w:proofErr w:type="spellEnd"/>
      <w:r w:rsidRPr="005238AE">
        <w:rPr>
          <w:lang w:val="en-GB"/>
        </w:rPr>
        <w:t>: http://www.amody.com/pdf/forecasting.pdf</w:t>
      </w:r>
    </w:p>
    <w:p w14:paraId="203EED55" w14:textId="77777777" w:rsidR="005238AE" w:rsidRPr="005238AE" w:rsidRDefault="005238AE" w:rsidP="005238AE">
      <w:pPr>
        <w:spacing w:line="240" w:lineRule="auto"/>
        <w:ind w:left="851" w:hanging="851"/>
      </w:pPr>
      <w:r w:rsidRPr="005238AE">
        <w:rPr>
          <w:bCs/>
        </w:rPr>
        <w:t>PRATES, D. M</w:t>
      </w:r>
      <w:r w:rsidRPr="005238AE">
        <w:rPr>
          <w:b/>
          <w:bCs/>
        </w:rPr>
        <w:t>.</w:t>
      </w:r>
      <w:r w:rsidRPr="005238AE">
        <w:t> A abertura financeira dos países periféricos e os determinantes dos fluxos de capitais. Revista de Economia Política</w:t>
      </w:r>
      <w:proofErr w:type="gramStart"/>
      <w:r w:rsidRPr="005238AE">
        <w:t>, São</w:t>
      </w:r>
      <w:proofErr w:type="gramEnd"/>
      <w:r w:rsidRPr="005238AE">
        <w:t xml:space="preserve"> - Paulo - SP, v. 19, 1999.</w:t>
      </w:r>
    </w:p>
    <w:p w14:paraId="29239D83" w14:textId="77777777" w:rsidR="005238AE" w:rsidRPr="005238AE" w:rsidRDefault="005238AE" w:rsidP="005238AE">
      <w:pPr>
        <w:spacing w:line="240" w:lineRule="auto"/>
        <w:ind w:left="851" w:hanging="851"/>
      </w:pPr>
      <w:r w:rsidRPr="005238AE">
        <w:t>_______. Crises financeiras dos países “emergentes”: uma interpretação heterodoxa. Tese (Doutorado em Economia), Instituto de Economia, Universidade Estadual de Campinas, Campinas, 2002.</w:t>
      </w:r>
    </w:p>
    <w:p w14:paraId="565E76F1" w14:textId="77777777" w:rsidR="005238AE" w:rsidRPr="005238AE" w:rsidRDefault="005238AE" w:rsidP="005238AE">
      <w:pPr>
        <w:spacing w:line="240" w:lineRule="auto"/>
        <w:ind w:left="851" w:hanging="851"/>
      </w:pPr>
      <w:r w:rsidRPr="005238AE">
        <w:t xml:space="preserve">_______. M. As assimetrias do sistema monetário e financeiro internacional. </w:t>
      </w:r>
      <w:r w:rsidRPr="005238AE">
        <w:rPr>
          <w:i/>
          <w:iCs/>
        </w:rPr>
        <w:t>Revista de Economia Contemporânea</w:t>
      </w:r>
      <w:r w:rsidRPr="005238AE">
        <w:t xml:space="preserve">, Rio de Janeiro-RJ - </w:t>
      </w:r>
      <w:proofErr w:type="spellStart"/>
      <w:r w:rsidRPr="005238AE">
        <w:t>mai</w:t>
      </w:r>
      <w:proofErr w:type="spellEnd"/>
      <w:r w:rsidRPr="005238AE">
        <w:t>/</w:t>
      </w:r>
      <w:proofErr w:type="spellStart"/>
      <w:r w:rsidRPr="005238AE">
        <w:t>ago</w:t>
      </w:r>
      <w:proofErr w:type="spellEnd"/>
      <w:r w:rsidRPr="005238AE">
        <w:t>, v. 9, n. 2, p. 263-288, 2005.</w:t>
      </w:r>
    </w:p>
    <w:p w14:paraId="0105D8EA" w14:textId="77777777" w:rsidR="005238AE" w:rsidRPr="005238AE" w:rsidRDefault="005238AE" w:rsidP="005238AE">
      <w:pPr>
        <w:spacing w:line="240" w:lineRule="auto"/>
        <w:ind w:left="851" w:hanging="851"/>
        <w:rPr>
          <w:lang w:val="en-US"/>
        </w:rPr>
      </w:pPr>
      <w:proofErr w:type="gramStart"/>
      <w:r w:rsidRPr="005238AE">
        <w:rPr>
          <w:bCs/>
          <w:lang w:val="en-US"/>
        </w:rPr>
        <w:t>PRATES, D. M.</w:t>
      </w:r>
      <w:r w:rsidRPr="005238AE">
        <w:rPr>
          <w:lang w:val="en-US"/>
        </w:rPr>
        <w:t> </w:t>
      </w:r>
      <w:r w:rsidRPr="005238AE">
        <w:rPr>
          <w:bCs/>
          <w:lang w:val="en-US"/>
        </w:rPr>
        <w:t>&amp;</w:t>
      </w:r>
      <w:r w:rsidRPr="005238AE">
        <w:rPr>
          <w:lang w:val="en-US"/>
        </w:rPr>
        <w:t> CINTRA, M. A. M.</w:t>
      </w:r>
      <w:proofErr w:type="gramEnd"/>
      <w:r w:rsidRPr="005238AE">
        <w:rPr>
          <w:lang w:val="en-US"/>
        </w:rPr>
        <w:t xml:space="preserve"> </w:t>
      </w:r>
      <w:proofErr w:type="gramStart"/>
      <w:r w:rsidRPr="005238AE">
        <w:rPr>
          <w:i/>
          <w:lang w:val="en-US"/>
        </w:rPr>
        <w:t>The Emerging-market Economies in the Face of the Global Financial</w:t>
      </w:r>
      <w:r w:rsidRPr="005238AE">
        <w:rPr>
          <w:lang w:val="en-US"/>
        </w:rPr>
        <w:t xml:space="preserve"> </w:t>
      </w:r>
      <w:r w:rsidRPr="005238AE">
        <w:rPr>
          <w:i/>
          <w:lang w:val="en-US"/>
        </w:rPr>
        <w:t>Crisis</w:t>
      </w:r>
      <w:r w:rsidRPr="005238AE">
        <w:rPr>
          <w:lang w:val="en-US"/>
        </w:rPr>
        <w:t>.</w:t>
      </w:r>
      <w:proofErr w:type="gramEnd"/>
      <w:r w:rsidRPr="005238AE">
        <w:rPr>
          <w:lang w:val="en-US"/>
        </w:rPr>
        <w:t xml:space="preserve"> In: Sebastian </w:t>
      </w:r>
      <w:proofErr w:type="spellStart"/>
      <w:r w:rsidRPr="005238AE">
        <w:rPr>
          <w:lang w:val="en-US"/>
        </w:rPr>
        <w:t>Dullien</w:t>
      </w:r>
      <w:proofErr w:type="spellEnd"/>
      <w:r w:rsidRPr="005238AE">
        <w:rPr>
          <w:lang w:val="en-US"/>
        </w:rPr>
        <w:t xml:space="preserve">; </w:t>
      </w:r>
      <w:proofErr w:type="spellStart"/>
      <w:r w:rsidRPr="005238AE">
        <w:rPr>
          <w:lang w:val="en-US"/>
        </w:rPr>
        <w:t>Detlef</w:t>
      </w:r>
      <w:proofErr w:type="spellEnd"/>
      <w:r w:rsidRPr="005238AE">
        <w:rPr>
          <w:lang w:val="en-US"/>
        </w:rPr>
        <w:t xml:space="preserve"> J. </w:t>
      </w:r>
      <w:proofErr w:type="spellStart"/>
      <w:r w:rsidRPr="005238AE">
        <w:rPr>
          <w:lang w:val="en-US"/>
        </w:rPr>
        <w:t>Kotte</w:t>
      </w:r>
      <w:proofErr w:type="spellEnd"/>
      <w:r w:rsidRPr="005238AE">
        <w:rPr>
          <w:lang w:val="en-US"/>
        </w:rPr>
        <w:t xml:space="preserve">; Alejandro </w:t>
      </w:r>
      <w:proofErr w:type="spellStart"/>
      <w:r w:rsidRPr="005238AE">
        <w:rPr>
          <w:lang w:val="en-US"/>
        </w:rPr>
        <w:t>Márquez</w:t>
      </w:r>
      <w:proofErr w:type="spellEnd"/>
      <w:r w:rsidRPr="005238AE">
        <w:rPr>
          <w:lang w:val="en-US"/>
        </w:rPr>
        <w:t xml:space="preserve">; Jan </w:t>
      </w:r>
      <w:proofErr w:type="spellStart"/>
      <w:r w:rsidRPr="005238AE">
        <w:rPr>
          <w:lang w:val="en-US"/>
        </w:rPr>
        <w:t>Priewe</w:t>
      </w:r>
      <w:proofErr w:type="spellEnd"/>
      <w:r w:rsidRPr="005238AE">
        <w:rPr>
          <w:lang w:val="en-US"/>
        </w:rPr>
        <w:t xml:space="preserve">. </w:t>
      </w:r>
      <w:proofErr w:type="gramStart"/>
      <w:r w:rsidRPr="005238AE">
        <w:rPr>
          <w:lang w:val="en-US"/>
        </w:rPr>
        <w:t>(Org.).</w:t>
      </w:r>
      <w:proofErr w:type="gramEnd"/>
      <w:r w:rsidRPr="005238AE">
        <w:rPr>
          <w:lang w:val="en-US"/>
        </w:rPr>
        <w:t xml:space="preserve"> </w:t>
      </w:r>
      <w:proofErr w:type="gramStart"/>
      <w:r w:rsidRPr="005238AE">
        <w:rPr>
          <w:lang w:val="en-US"/>
        </w:rPr>
        <w:t>The Financial and economic crisis of 2008-2009 and developing countries.</w:t>
      </w:r>
      <w:proofErr w:type="gramEnd"/>
      <w:r w:rsidRPr="005238AE">
        <w:rPr>
          <w:lang w:val="en-US"/>
        </w:rPr>
        <w:t xml:space="preserve"> New York and Geneva: UNITED NATIONS, 2010, v</w:t>
      </w:r>
      <w:proofErr w:type="gramStart"/>
      <w:r w:rsidRPr="005238AE">
        <w:rPr>
          <w:lang w:val="en-US"/>
        </w:rPr>
        <w:t>. ,</w:t>
      </w:r>
      <w:proofErr w:type="gramEnd"/>
      <w:r w:rsidRPr="005238AE">
        <w:rPr>
          <w:lang w:val="en-US"/>
        </w:rPr>
        <w:t xml:space="preserve"> p. 53-71.</w:t>
      </w:r>
    </w:p>
    <w:p w14:paraId="585F48EC" w14:textId="77777777" w:rsidR="005238AE" w:rsidRPr="005238AE" w:rsidRDefault="005238AE" w:rsidP="005238AE">
      <w:pPr>
        <w:spacing w:line="240" w:lineRule="auto"/>
        <w:ind w:left="851" w:hanging="851"/>
        <w:rPr>
          <w:lang w:val="en-US"/>
        </w:rPr>
      </w:pPr>
      <w:r w:rsidRPr="005238AE">
        <w:rPr>
          <w:lang w:val="en-US"/>
        </w:rPr>
        <w:t xml:space="preserve">REY, H. </w:t>
      </w:r>
      <w:r w:rsidRPr="005238AE">
        <w:rPr>
          <w:i/>
          <w:lang w:val="en-US"/>
        </w:rPr>
        <w:t xml:space="preserve">Dilemma not </w:t>
      </w:r>
      <w:proofErr w:type="spellStart"/>
      <w:r w:rsidRPr="005238AE">
        <w:rPr>
          <w:i/>
          <w:lang w:val="en-US"/>
        </w:rPr>
        <w:t>Trilemma</w:t>
      </w:r>
      <w:proofErr w:type="spellEnd"/>
      <w:r w:rsidRPr="005238AE">
        <w:rPr>
          <w:i/>
          <w:lang w:val="en-US"/>
        </w:rPr>
        <w:t xml:space="preserve">: </w:t>
      </w:r>
      <w:r w:rsidRPr="005238AE">
        <w:rPr>
          <w:bCs/>
          <w:i/>
          <w:lang w:val="en-US"/>
        </w:rPr>
        <w:t>The Global Financial Cycle and Monetary Policy Independence</w:t>
      </w:r>
      <w:r w:rsidRPr="005238AE">
        <w:rPr>
          <w:bCs/>
          <w:lang w:val="en-US"/>
        </w:rPr>
        <w:t>. London Business School, CEPR and NBER August 2013.</w:t>
      </w:r>
    </w:p>
    <w:p w14:paraId="5A7D5D40" w14:textId="77777777" w:rsidR="005238AE" w:rsidRPr="005238AE" w:rsidRDefault="005238AE" w:rsidP="005238AE">
      <w:pPr>
        <w:spacing w:line="240" w:lineRule="auto"/>
        <w:ind w:left="851" w:hanging="851"/>
      </w:pPr>
      <w:r w:rsidRPr="005238AE">
        <w:rPr>
          <w:lang w:val="en-US"/>
        </w:rPr>
        <w:t xml:space="preserve">ROODMAN, D. 2009. </w:t>
      </w:r>
      <w:r w:rsidRPr="005238AE">
        <w:rPr>
          <w:i/>
          <w:lang w:val="en-US"/>
        </w:rPr>
        <w:t xml:space="preserve">How to do xtabond2: An introduction to difference and system GMM in </w:t>
      </w:r>
      <w:proofErr w:type="spellStart"/>
      <w:r w:rsidRPr="005238AE">
        <w:rPr>
          <w:i/>
          <w:lang w:val="en-US"/>
        </w:rPr>
        <w:t>Stata</w:t>
      </w:r>
      <w:proofErr w:type="spellEnd"/>
      <w:r w:rsidRPr="005238AE">
        <w:rPr>
          <w:lang w:val="en-US"/>
        </w:rPr>
        <w:t xml:space="preserve">. </w:t>
      </w:r>
      <w:proofErr w:type="spellStart"/>
      <w:r w:rsidRPr="005238AE">
        <w:t>Stata</w:t>
      </w:r>
      <w:proofErr w:type="spellEnd"/>
      <w:r w:rsidRPr="005238AE">
        <w:t xml:space="preserve"> </w:t>
      </w:r>
      <w:proofErr w:type="spellStart"/>
      <w:r w:rsidRPr="005238AE">
        <w:t>Journal</w:t>
      </w:r>
      <w:proofErr w:type="spellEnd"/>
      <w:r w:rsidRPr="005238AE">
        <w:t xml:space="preserve"> 9(1): 86-136. Disponível em: </w:t>
      </w:r>
      <w:hyperlink r:id="rId22" w:history="1">
        <w:r w:rsidRPr="005238AE">
          <w:rPr>
            <w:color w:val="0000FF"/>
            <w:u w:val="single"/>
          </w:rPr>
          <w:t>http://www.stata-journal.com/article.html?article=st0159</w:t>
        </w:r>
      </w:hyperlink>
    </w:p>
    <w:p w14:paraId="166F4B8D" w14:textId="77777777" w:rsidR="005238AE" w:rsidRPr="005238AE" w:rsidRDefault="005238AE" w:rsidP="005238AE">
      <w:pPr>
        <w:spacing w:line="240" w:lineRule="auto"/>
        <w:ind w:left="851" w:hanging="851"/>
      </w:pPr>
      <w:r w:rsidRPr="005238AE">
        <w:t>SERRANO, F. (2002). Do ouro imóvel ao dólar flexível. Economia e Sociedade, v. 11, n. 1</w:t>
      </w:r>
      <w:proofErr w:type="gramStart"/>
      <w:r w:rsidRPr="005238AE">
        <w:t>.,</w:t>
      </w:r>
      <w:proofErr w:type="gramEnd"/>
      <w:r w:rsidRPr="005238AE">
        <w:t xml:space="preserve"> p. 237-254.</w:t>
      </w:r>
    </w:p>
    <w:p w14:paraId="46B217E5" w14:textId="77777777" w:rsidR="005238AE" w:rsidRPr="005238AE" w:rsidRDefault="005238AE" w:rsidP="005238AE">
      <w:pPr>
        <w:spacing w:line="240" w:lineRule="auto"/>
        <w:ind w:left="851" w:hanging="851"/>
        <w:rPr>
          <w:vanish/>
          <w:lang w:val="en-US"/>
        </w:rPr>
      </w:pPr>
      <w:proofErr w:type="gramStart"/>
      <w:r w:rsidRPr="005238AE">
        <w:rPr>
          <w:lang w:val="en-US"/>
        </w:rPr>
        <w:t xml:space="preserve">TAYLOR, M </w:t>
      </w:r>
      <w:r w:rsidRPr="005238AE">
        <w:rPr>
          <w:bCs/>
          <w:lang w:val="en-US"/>
        </w:rPr>
        <w:t>&amp;</w:t>
      </w:r>
      <w:r w:rsidRPr="005238AE">
        <w:rPr>
          <w:lang w:val="en-US"/>
        </w:rPr>
        <w:t xml:space="preserve"> SARNO, L. (1997).</w:t>
      </w:r>
      <w:proofErr w:type="gramEnd"/>
      <w:r w:rsidRPr="005238AE">
        <w:rPr>
          <w:lang w:val="en-US"/>
        </w:rPr>
        <w:t xml:space="preserve"> </w:t>
      </w:r>
      <w:r w:rsidRPr="005238AE">
        <w:rPr>
          <w:i/>
          <w:lang w:val="en-US"/>
        </w:rPr>
        <w:t xml:space="preserve">Capital Flows to Developing Countries: Long and Short-Term Determinants. </w:t>
      </w:r>
      <w:r w:rsidRPr="005238AE">
        <w:rPr>
          <w:lang w:val="en-US"/>
        </w:rPr>
        <w:t>, The World Bank Economic Review, Vol. 11, No. 3.</w:t>
      </w:r>
    </w:p>
    <w:p w14:paraId="394B8475" w14:textId="77777777" w:rsidR="005238AE" w:rsidRPr="005238AE" w:rsidRDefault="005238AE" w:rsidP="005238AE">
      <w:pPr>
        <w:spacing w:line="240" w:lineRule="auto"/>
        <w:ind w:left="851" w:hanging="851"/>
        <w:rPr>
          <w:lang w:val="en-US"/>
        </w:rPr>
      </w:pPr>
      <w:r w:rsidRPr="005238AE">
        <w:rPr>
          <w:vanish/>
          <w:lang w:val="en-US"/>
        </w:rPr>
        <w:cr/>
        <w:t xml:space="preserve">___________I, Andrnternational assifications? seriam esp g </w:t>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p>
    <w:p w14:paraId="2125554C" w14:textId="77777777" w:rsidR="005238AE" w:rsidRPr="005238AE" w:rsidRDefault="005238AE" w:rsidP="005238AE">
      <w:pPr>
        <w:spacing w:line="240" w:lineRule="auto"/>
        <w:ind w:left="851" w:hanging="851"/>
        <w:rPr>
          <w:bCs/>
          <w:lang w:val="en-US"/>
        </w:rPr>
      </w:pPr>
      <w:r w:rsidRPr="005238AE">
        <w:rPr>
          <w:bCs/>
          <w:lang w:val="en-US"/>
        </w:rPr>
        <w:t xml:space="preserve">ULLMAN, J. B. </w:t>
      </w:r>
      <w:r w:rsidRPr="005238AE">
        <w:rPr>
          <w:bCs/>
          <w:i/>
          <w:lang w:val="en-US"/>
        </w:rPr>
        <w:t>Structural Equation Modeling: Reviewing the Basics and Moving Forward</w:t>
      </w:r>
      <w:r w:rsidRPr="005238AE">
        <w:rPr>
          <w:bCs/>
          <w:lang w:val="en-US"/>
        </w:rPr>
        <w:t xml:space="preserve">. </w:t>
      </w:r>
      <w:proofErr w:type="gramStart"/>
      <w:r w:rsidRPr="005238AE">
        <w:rPr>
          <w:bCs/>
          <w:lang w:val="en-US"/>
        </w:rPr>
        <w:t>STATISTICAL DEVELOPMENTS AND APPLICATIONS.</w:t>
      </w:r>
      <w:proofErr w:type="gramEnd"/>
      <w:r w:rsidRPr="005238AE">
        <w:rPr>
          <w:bCs/>
          <w:lang w:val="en-US"/>
        </w:rPr>
        <w:t xml:space="preserve"> </w:t>
      </w:r>
      <w:proofErr w:type="gramStart"/>
      <w:r w:rsidRPr="005238AE">
        <w:rPr>
          <w:bCs/>
          <w:lang w:val="en-US"/>
        </w:rPr>
        <w:t xml:space="preserve">JOURNAL OF PERSONALITY ASSESSMENT, </w:t>
      </w:r>
      <w:r w:rsidRPr="005238AE">
        <w:rPr>
          <w:bCs/>
          <w:i/>
          <w:iCs/>
          <w:lang w:val="en-US"/>
        </w:rPr>
        <w:t>87</w:t>
      </w:r>
      <w:r w:rsidRPr="005238AE">
        <w:rPr>
          <w:bCs/>
          <w:lang w:val="en-US"/>
        </w:rPr>
        <w:t>(1), 35–50, 2006.</w:t>
      </w:r>
      <w:proofErr w:type="gramEnd"/>
      <w:r w:rsidRPr="005238AE">
        <w:rPr>
          <w:bCs/>
          <w:lang w:val="en-US"/>
        </w:rPr>
        <w:t xml:space="preserve"> </w:t>
      </w:r>
      <w:proofErr w:type="spellStart"/>
      <w:r w:rsidRPr="005238AE">
        <w:rPr>
          <w:bCs/>
          <w:lang w:val="en-US"/>
        </w:rPr>
        <w:t>Disponível</w:t>
      </w:r>
      <w:proofErr w:type="spellEnd"/>
      <w:r w:rsidRPr="005238AE">
        <w:rPr>
          <w:bCs/>
          <w:lang w:val="en-US"/>
        </w:rPr>
        <w:t xml:space="preserve"> </w:t>
      </w:r>
      <w:proofErr w:type="spellStart"/>
      <w:r w:rsidRPr="005238AE">
        <w:rPr>
          <w:bCs/>
          <w:lang w:val="en-US"/>
        </w:rPr>
        <w:t>em</w:t>
      </w:r>
      <w:proofErr w:type="spellEnd"/>
      <w:r w:rsidRPr="005238AE">
        <w:rPr>
          <w:bCs/>
          <w:lang w:val="en-US"/>
        </w:rPr>
        <w:t>: http://www.ncbi.nlm.nih.gov</w:t>
      </w:r>
    </w:p>
    <w:p w14:paraId="30460174" w14:textId="77777777" w:rsidR="005238AE" w:rsidRPr="005238AE" w:rsidRDefault="005238AE" w:rsidP="005238AE">
      <w:pPr>
        <w:spacing w:line="240" w:lineRule="auto"/>
        <w:ind w:left="851" w:hanging="851"/>
        <w:rPr>
          <w:u w:val="single"/>
        </w:rPr>
      </w:pPr>
      <w:r w:rsidRPr="005238AE">
        <w:rPr>
          <w:lang w:val="en-US"/>
        </w:rPr>
        <w:t xml:space="preserve">WHITE, H. (1980). </w:t>
      </w:r>
      <w:proofErr w:type="gramStart"/>
      <w:r w:rsidRPr="005238AE">
        <w:rPr>
          <w:i/>
          <w:lang w:val="en-US"/>
        </w:rPr>
        <w:t xml:space="preserve">A </w:t>
      </w:r>
      <w:proofErr w:type="spellStart"/>
      <w:r w:rsidRPr="005238AE">
        <w:rPr>
          <w:i/>
          <w:lang w:val="en-US"/>
        </w:rPr>
        <w:t>heteroskedasticity</w:t>
      </w:r>
      <w:proofErr w:type="spellEnd"/>
      <w:r w:rsidRPr="005238AE">
        <w:rPr>
          <w:i/>
          <w:lang w:val="en-US"/>
        </w:rPr>
        <w:t xml:space="preserve"> consistent covariance matrix estimator and a direct test for </w:t>
      </w:r>
      <w:proofErr w:type="spellStart"/>
      <w:r w:rsidRPr="005238AE">
        <w:rPr>
          <w:i/>
          <w:lang w:val="en-US"/>
        </w:rPr>
        <w:t>heteroskedasticity</w:t>
      </w:r>
      <w:proofErr w:type="spellEnd"/>
      <w:r w:rsidRPr="005238AE">
        <w:rPr>
          <w:lang w:val="en-US"/>
        </w:rPr>
        <w:t xml:space="preserve">, </w:t>
      </w:r>
      <w:proofErr w:type="spellStart"/>
      <w:r w:rsidRPr="005238AE">
        <w:rPr>
          <w:lang w:val="en-US"/>
        </w:rPr>
        <w:t>Econometrica</w:t>
      </w:r>
      <w:proofErr w:type="spellEnd"/>
      <w:r w:rsidRPr="005238AE">
        <w:rPr>
          <w:lang w:val="en-US"/>
        </w:rPr>
        <w:t xml:space="preserve"> 48, 817-838.</w:t>
      </w:r>
      <w:proofErr w:type="gramEnd"/>
      <w:r w:rsidRPr="005238AE">
        <w:rPr>
          <w:lang w:val="en-US"/>
        </w:rPr>
        <w:t xml:space="preserve"> </w:t>
      </w:r>
      <w:r w:rsidRPr="005238AE">
        <w:t xml:space="preserve">Disponível em: </w:t>
      </w:r>
      <w:hyperlink r:id="rId23" w:history="1">
        <w:r w:rsidRPr="005238AE">
          <w:rPr>
            <w:u w:val="single"/>
          </w:rPr>
          <w:t>http://dss.ucsd.edu/~hwhite/pub_files/hwcv-007.pdf</w:t>
        </w:r>
      </w:hyperlink>
    </w:p>
    <w:p w14:paraId="08B28581" w14:textId="77777777" w:rsidR="005238AE" w:rsidRPr="005238AE" w:rsidRDefault="005238AE" w:rsidP="005238AE">
      <w:pPr>
        <w:spacing w:line="240" w:lineRule="auto"/>
        <w:ind w:left="851" w:hanging="851"/>
        <w:rPr>
          <w:u w:val="single"/>
        </w:rPr>
      </w:pPr>
      <w:r w:rsidRPr="005238AE">
        <w:rPr>
          <w:u w:val="single"/>
        </w:rPr>
        <w:t xml:space="preserve">WINDMEIJER, F. 2005. </w:t>
      </w:r>
      <w:r w:rsidRPr="005238AE">
        <w:rPr>
          <w:i/>
          <w:u w:val="single"/>
        </w:rPr>
        <w:t xml:space="preserve">A </w:t>
      </w:r>
      <w:proofErr w:type="spellStart"/>
      <w:r w:rsidRPr="005238AE">
        <w:rPr>
          <w:i/>
          <w:u w:val="single"/>
        </w:rPr>
        <w:t>finite</w:t>
      </w:r>
      <w:proofErr w:type="spellEnd"/>
      <w:r w:rsidRPr="005238AE">
        <w:rPr>
          <w:i/>
          <w:u w:val="single"/>
        </w:rPr>
        <w:t xml:space="preserve"> </w:t>
      </w:r>
      <w:proofErr w:type="spellStart"/>
      <w:r w:rsidRPr="005238AE">
        <w:rPr>
          <w:i/>
          <w:u w:val="single"/>
        </w:rPr>
        <w:t>sample</w:t>
      </w:r>
      <w:proofErr w:type="spellEnd"/>
      <w:r w:rsidRPr="005238AE">
        <w:rPr>
          <w:i/>
          <w:u w:val="single"/>
        </w:rPr>
        <w:t xml:space="preserve"> </w:t>
      </w:r>
      <w:proofErr w:type="spellStart"/>
      <w:r w:rsidRPr="005238AE">
        <w:rPr>
          <w:i/>
          <w:u w:val="single"/>
        </w:rPr>
        <w:t>correction</w:t>
      </w:r>
      <w:proofErr w:type="spellEnd"/>
      <w:r w:rsidRPr="005238AE">
        <w:rPr>
          <w:i/>
          <w:u w:val="single"/>
        </w:rPr>
        <w:t xml:space="preserve"> for </w:t>
      </w:r>
      <w:proofErr w:type="spellStart"/>
      <w:r w:rsidRPr="005238AE">
        <w:rPr>
          <w:i/>
          <w:u w:val="single"/>
        </w:rPr>
        <w:t>the</w:t>
      </w:r>
      <w:proofErr w:type="spellEnd"/>
      <w:r w:rsidRPr="005238AE">
        <w:rPr>
          <w:i/>
          <w:u w:val="single"/>
        </w:rPr>
        <w:t xml:space="preserve"> </w:t>
      </w:r>
      <w:proofErr w:type="spellStart"/>
      <w:r w:rsidRPr="005238AE">
        <w:rPr>
          <w:i/>
          <w:u w:val="single"/>
        </w:rPr>
        <w:t>variance</w:t>
      </w:r>
      <w:proofErr w:type="spellEnd"/>
      <w:r w:rsidRPr="005238AE">
        <w:rPr>
          <w:i/>
          <w:u w:val="single"/>
        </w:rPr>
        <w:t xml:space="preserve"> </w:t>
      </w:r>
      <w:proofErr w:type="spellStart"/>
      <w:r w:rsidRPr="005238AE">
        <w:rPr>
          <w:i/>
          <w:u w:val="single"/>
        </w:rPr>
        <w:t>of</w:t>
      </w:r>
      <w:proofErr w:type="spellEnd"/>
      <w:r w:rsidRPr="005238AE">
        <w:rPr>
          <w:i/>
          <w:u w:val="single"/>
        </w:rPr>
        <w:t xml:space="preserve"> linear </w:t>
      </w:r>
      <w:proofErr w:type="spellStart"/>
      <w:r w:rsidRPr="005238AE">
        <w:rPr>
          <w:i/>
          <w:u w:val="single"/>
        </w:rPr>
        <w:t>efficient</w:t>
      </w:r>
      <w:proofErr w:type="spellEnd"/>
      <w:r w:rsidRPr="005238AE">
        <w:rPr>
          <w:i/>
          <w:u w:val="single"/>
        </w:rPr>
        <w:t xml:space="preserve"> </w:t>
      </w:r>
      <w:proofErr w:type="spellStart"/>
      <w:r w:rsidRPr="005238AE">
        <w:rPr>
          <w:i/>
          <w:u w:val="single"/>
        </w:rPr>
        <w:t>two-step</w:t>
      </w:r>
      <w:proofErr w:type="spellEnd"/>
      <w:r w:rsidRPr="005238AE">
        <w:rPr>
          <w:i/>
          <w:u w:val="single"/>
        </w:rPr>
        <w:t xml:space="preserve"> GMM </w:t>
      </w:r>
      <w:proofErr w:type="spellStart"/>
      <w:r w:rsidRPr="005238AE">
        <w:rPr>
          <w:i/>
          <w:u w:val="single"/>
        </w:rPr>
        <w:t>estimators</w:t>
      </w:r>
      <w:proofErr w:type="spellEnd"/>
      <w:r w:rsidRPr="005238AE">
        <w:rPr>
          <w:u w:val="single"/>
        </w:rPr>
        <w:t xml:space="preserve">. </w:t>
      </w:r>
      <w:proofErr w:type="spellStart"/>
      <w:r w:rsidRPr="005238AE">
        <w:rPr>
          <w:u w:val="single"/>
        </w:rPr>
        <w:t>Journal</w:t>
      </w:r>
      <w:proofErr w:type="spellEnd"/>
      <w:r w:rsidRPr="005238AE">
        <w:rPr>
          <w:u w:val="single"/>
        </w:rPr>
        <w:t xml:space="preserve"> </w:t>
      </w:r>
      <w:proofErr w:type="spellStart"/>
      <w:r w:rsidRPr="005238AE">
        <w:rPr>
          <w:u w:val="single"/>
        </w:rPr>
        <w:t>of</w:t>
      </w:r>
      <w:proofErr w:type="spellEnd"/>
      <w:r w:rsidRPr="005238AE">
        <w:rPr>
          <w:u w:val="single"/>
        </w:rPr>
        <w:t xml:space="preserve"> </w:t>
      </w:r>
      <w:proofErr w:type="spellStart"/>
      <w:r w:rsidRPr="005238AE">
        <w:rPr>
          <w:u w:val="single"/>
        </w:rPr>
        <w:t>Econometrics</w:t>
      </w:r>
      <w:proofErr w:type="spellEnd"/>
      <w:r w:rsidRPr="005238AE">
        <w:rPr>
          <w:u w:val="single"/>
        </w:rPr>
        <w:t xml:space="preserve"> 126: 25–51.</w:t>
      </w:r>
    </w:p>
    <w:p w14:paraId="43B8487B" w14:textId="77777777" w:rsidR="005238AE" w:rsidRPr="005238AE" w:rsidRDefault="005238AE" w:rsidP="005238AE">
      <w:pPr>
        <w:spacing w:line="240" w:lineRule="auto"/>
        <w:ind w:left="851" w:hanging="851"/>
        <w:rPr>
          <w:lang w:val="en-US"/>
        </w:rPr>
      </w:pPr>
      <w:proofErr w:type="gramStart"/>
      <w:r w:rsidRPr="005238AE">
        <w:rPr>
          <w:lang w:val="en-US"/>
        </w:rPr>
        <w:t xml:space="preserve">WOOLDRIDGE, J.M. </w:t>
      </w:r>
      <w:r w:rsidRPr="005238AE">
        <w:rPr>
          <w:bCs/>
          <w:i/>
          <w:lang w:val="en-US"/>
        </w:rPr>
        <w:t>Econometric analysis of Cross Section and Panel Data</w:t>
      </w:r>
      <w:r w:rsidRPr="005238AE">
        <w:rPr>
          <w:lang w:val="en-US"/>
        </w:rPr>
        <w:t>.</w:t>
      </w:r>
      <w:proofErr w:type="gramEnd"/>
      <w:r w:rsidRPr="005238AE">
        <w:rPr>
          <w:lang w:val="en-US"/>
        </w:rPr>
        <w:t xml:space="preserve"> </w:t>
      </w:r>
      <w:proofErr w:type="gramStart"/>
      <w:r w:rsidRPr="005238AE">
        <w:rPr>
          <w:lang w:val="en-US"/>
        </w:rPr>
        <w:t xml:space="preserve">2nd </w:t>
      </w:r>
      <w:proofErr w:type="spellStart"/>
      <w:r w:rsidRPr="005238AE">
        <w:rPr>
          <w:lang w:val="en-US"/>
        </w:rPr>
        <w:t>edition.Massachusetts</w:t>
      </w:r>
      <w:proofErr w:type="spellEnd"/>
      <w:r w:rsidRPr="005238AE">
        <w:rPr>
          <w:lang w:val="en-US"/>
        </w:rPr>
        <w:t>.</w:t>
      </w:r>
      <w:proofErr w:type="gramEnd"/>
      <w:r w:rsidRPr="005238AE">
        <w:rPr>
          <w:lang w:val="en-US"/>
        </w:rPr>
        <w:t xml:space="preserve"> </w:t>
      </w:r>
      <w:proofErr w:type="gramStart"/>
      <w:r w:rsidRPr="005238AE">
        <w:rPr>
          <w:lang w:val="en-US"/>
        </w:rPr>
        <w:t>The MIT Press.</w:t>
      </w:r>
      <w:proofErr w:type="gramEnd"/>
      <w:r w:rsidRPr="005238AE">
        <w:rPr>
          <w:lang w:val="en-US"/>
        </w:rPr>
        <w:t xml:space="preserve"> 2007.</w:t>
      </w:r>
    </w:p>
    <w:p w14:paraId="0FC16D61" w14:textId="77777777" w:rsidR="005238AE" w:rsidRPr="005238AE" w:rsidRDefault="00E6283B" w:rsidP="005238AE">
      <w:pPr>
        <w:spacing w:line="240" w:lineRule="auto"/>
        <w:ind w:left="851" w:hanging="851"/>
        <w:rPr>
          <w:lang w:val="en-US"/>
        </w:rPr>
      </w:pPr>
      <w:hyperlink r:id="rId24" w:tooltip="Go to World Development on ScienceDirect" w:history="1">
        <w:proofErr w:type="gramStart"/>
        <w:r w:rsidR="005238AE" w:rsidRPr="005238AE">
          <w:rPr>
            <w:u w:val="single"/>
            <w:lang w:val="en-US"/>
          </w:rPr>
          <w:t>WORLD DEVELOPMENT</w:t>
        </w:r>
      </w:hyperlink>
      <w:r w:rsidR="005238AE" w:rsidRPr="005238AE">
        <w:rPr>
          <w:lang w:val="en-US"/>
        </w:rPr>
        <w:t>.</w:t>
      </w:r>
      <w:proofErr w:type="gramEnd"/>
      <w:r w:rsidR="005238AE" w:rsidRPr="005238AE">
        <w:rPr>
          <w:lang w:val="en-US"/>
        </w:rPr>
        <w:t xml:space="preserve"> </w:t>
      </w:r>
      <w:hyperlink r:id="rId25" w:tooltip="Go to table of contents for this volume/issue" w:history="1">
        <w:r w:rsidR="005238AE" w:rsidRPr="005238AE">
          <w:rPr>
            <w:u w:val="single"/>
            <w:lang w:val="en-US"/>
          </w:rPr>
          <w:t>Volume 39, Issue 5</w:t>
        </w:r>
      </w:hyperlink>
      <w:r w:rsidR="005238AE" w:rsidRPr="005238AE">
        <w:rPr>
          <w:lang w:val="en-US"/>
        </w:rPr>
        <w:t>, May 2011, Pages 712–724</w:t>
      </w:r>
    </w:p>
    <w:p w14:paraId="0A8DDBC9" w14:textId="77777777" w:rsidR="005238AE" w:rsidRPr="005238AE" w:rsidRDefault="005238AE" w:rsidP="005238AE">
      <w:pPr>
        <w:spacing w:line="240" w:lineRule="auto"/>
        <w:ind w:left="851" w:hanging="851"/>
        <w:rPr>
          <w:lang w:val="en-US"/>
        </w:rPr>
      </w:pPr>
      <w:proofErr w:type="gramStart"/>
      <w:r w:rsidRPr="005238AE">
        <w:rPr>
          <w:lang w:val="en-US"/>
        </w:rPr>
        <w:t>YING, Y-H.</w:t>
      </w:r>
      <w:proofErr w:type="gramEnd"/>
      <w:r w:rsidRPr="005238AE">
        <w:rPr>
          <w:lang w:val="en-US"/>
        </w:rPr>
        <w:t xml:space="preserve"> </w:t>
      </w:r>
      <w:proofErr w:type="gramStart"/>
      <w:r w:rsidRPr="005238AE">
        <w:rPr>
          <w:bCs/>
          <w:lang w:val="en-US"/>
        </w:rPr>
        <w:t xml:space="preserve">&amp; </w:t>
      </w:r>
      <w:r w:rsidRPr="005238AE">
        <w:rPr>
          <w:lang w:val="en-US"/>
        </w:rPr>
        <w:t>KIM, Y. (2001).</w:t>
      </w:r>
      <w:proofErr w:type="gramEnd"/>
      <w:r w:rsidRPr="005238AE">
        <w:rPr>
          <w:lang w:val="en-US"/>
        </w:rPr>
        <w:t xml:space="preserve"> </w:t>
      </w:r>
      <w:r w:rsidRPr="005238AE">
        <w:rPr>
          <w:i/>
          <w:lang w:val="en-US"/>
        </w:rPr>
        <w:t>An Empirical Analysis on Capital Flows: The Case of Korea and Mexico</w:t>
      </w:r>
      <w:r w:rsidRPr="005238AE">
        <w:rPr>
          <w:lang w:val="en-US"/>
        </w:rPr>
        <w:t xml:space="preserve">. </w:t>
      </w:r>
      <w:proofErr w:type="gramStart"/>
      <w:r w:rsidRPr="005238AE">
        <w:rPr>
          <w:lang w:val="en-US"/>
        </w:rPr>
        <w:t>Southern Economic Journal, 67(4).</w:t>
      </w:r>
      <w:proofErr w:type="gramEnd"/>
    </w:p>
    <w:p w14:paraId="3183DDA2" w14:textId="77777777" w:rsidR="0059023E" w:rsidRDefault="0059023E" w:rsidP="00FC2664">
      <w:pPr>
        <w:pStyle w:val="Ttulo2"/>
        <w:spacing w:before="0" w:line="240" w:lineRule="auto"/>
        <w:rPr>
          <w:color w:val="auto"/>
          <w:lang w:val="en-US"/>
        </w:rPr>
      </w:pPr>
    </w:p>
    <w:p w14:paraId="62625666" w14:textId="77777777" w:rsidR="003C2252" w:rsidRPr="000A0093" w:rsidRDefault="003C2252" w:rsidP="00FC2664">
      <w:pPr>
        <w:pStyle w:val="Ttulo2"/>
        <w:spacing w:before="0" w:line="240" w:lineRule="auto"/>
        <w:rPr>
          <w:color w:val="auto"/>
          <w:lang w:val="en-US"/>
        </w:rPr>
      </w:pPr>
      <w:proofErr w:type="spellStart"/>
      <w:r w:rsidRPr="000A0093">
        <w:rPr>
          <w:color w:val="auto"/>
          <w:lang w:val="en-US"/>
        </w:rPr>
        <w:t>Fonte</w:t>
      </w:r>
      <w:proofErr w:type="spellEnd"/>
      <w:r w:rsidRPr="000A0093">
        <w:rPr>
          <w:color w:val="auto"/>
          <w:lang w:val="en-US"/>
        </w:rPr>
        <w:t xml:space="preserve"> de dados:</w:t>
      </w:r>
    </w:p>
    <w:p w14:paraId="71996D08" w14:textId="77777777" w:rsidR="003C2252" w:rsidRPr="00480E6A" w:rsidRDefault="003C2252" w:rsidP="00FC2664">
      <w:pPr>
        <w:spacing w:line="240" w:lineRule="auto"/>
        <w:rPr>
          <w:bCs/>
          <w:lang w:val="en-GB"/>
        </w:rPr>
      </w:pPr>
      <w:proofErr w:type="gramStart"/>
      <w:r w:rsidRPr="000A0093">
        <w:rPr>
          <w:bCs/>
          <w:lang w:val="en-US"/>
        </w:rPr>
        <w:t>Chicago Board Options Exchange.</w:t>
      </w:r>
      <w:proofErr w:type="gramEnd"/>
      <w:r w:rsidRPr="000A0093">
        <w:rPr>
          <w:bCs/>
          <w:lang w:val="en-US"/>
        </w:rPr>
        <w:t xml:space="preserve"> . </w:t>
      </w:r>
      <w:proofErr w:type="spellStart"/>
      <w:r w:rsidRPr="00480E6A">
        <w:rPr>
          <w:bCs/>
          <w:lang w:val="en-GB"/>
        </w:rPr>
        <w:t>Disponível</w:t>
      </w:r>
      <w:proofErr w:type="spellEnd"/>
      <w:r w:rsidRPr="00480E6A">
        <w:rPr>
          <w:bCs/>
          <w:lang w:val="en-GB"/>
        </w:rPr>
        <w:t xml:space="preserve"> </w:t>
      </w:r>
      <w:proofErr w:type="spellStart"/>
      <w:r w:rsidRPr="00480E6A">
        <w:rPr>
          <w:bCs/>
          <w:lang w:val="en-GB"/>
        </w:rPr>
        <w:t>em</w:t>
      </w:r>
      <w:proofErr w:type="spellEnd"/>
      <w:r w:rsidRPr="00480E6A">
        <w:rPr>
          <w:bCs/>
          <w:lang w:val="en-GB"/>
        </w:rPr>
        <w:t>: cboe.com</w:t>
      </w:r>
    </w:p>
    <w:p w14:paraId="25F8ADEA" w14:textId="77777777" w:rsidR="003C2252" w:rsidRPr="00480E6A" w:rsidRDefault="003C2252" w:rsidP="00FC2664">
      <w:pPr>
        <w:spacing w:line="240" w:lineRule="auto"/>
        <w:rPr>
          <w:bCs/>
          <w:lang w:val="en-GB"/>
        </w:rPr>
      </w:pPr>
      <w:proofErr w:type="gramStart"/>
      <w:r w:rsidRPr="00480E6A">
        <w:rPr>
          <w:bCs/>
          <w:lang w:val="en-GB"/>
        </w:rPr>
        <w:t xml:space="preserve">Federal Reserve Bank of </w:t>
      </w:r>
      <w:proofErr w:type="spellStart"/>
      <w:r w:rsidRPr="00480E6A">
        <w:rPr>
          <w:bCs/>
          <w:lang w:val="en-GB"/>
        </w:rPr>
        <w:t>Sant</w:t>
      </w:r>
      <w:proofErr w:type="spellEnd"/>
      <w:r w:rsidRPr="00480E6A">
        <w:rPr>
          <w:bCs/>
          <w:lang w:val="en-GB"/>
        </w:rPr>
        <w:t xml:space="preserve"> Louis.</w:t>
      </w:r>
      <w:proofErr w:type="gramEnd"/>
      <w:r w:rsidRPr="00480E6A">
        <w:rPr>
          <w:bCs/>
          <w:lang w:val="en-GB"/>
        </w:rPr>
        <w:t xml:space="preserve"> </w:t>
      </w:r>
      <w:proofErr w:type="spellStart"/>
      <w:r w:rsidRPr="00480E6A">
        <w:rPr>
          <w:bCs/>
          <w:lang w:val="en-GB"/>
        </w:rPr>
        <w:t>Disponível</w:t>
      </w:r>
      <w:proofErr w:type="spellEnd"/>
      <w:r w:rsidRPr="00480E6A">
        <w:rPr>
          <w:bCs/>
          <w:lang w:val="en-GB"/>
        </w:rPr>
        <w:t xml:space="preserve"> </w:t>
      </w:r>
      <w:proofErr w:type="spellStart"/>
      <w:r w:rsidRPr="00480E6A">
        <w:rPr>
          <w:bCs/>
          <w:lang w:val="en-GB"/>
        </w:rPr>
        <w:t>em</w:t>
      </w:r>
      <w:proofErr w:type="spellEnd"/>
      <w:r w:rsidRPr="00480E6A">
        <w:rPr>
          <w:bCs/>
          <w:lang w:val="en-GB"/>
        </w:rPr>
        <w:t xml:space="preserve">: </w:t>
      </w:r>
      <w:hyperlink r:id="rId26" w:history="1">
        <w:r w:rsidRPr="00480E6A">
          <w:rPr>
            <w:rStyle w:val="Hyperlink"/>
            <w:bCs/>
            <w:color w:val="auto"/>
            <w:u w:val="none"/>
            <w:lang w:val="en-GB"/>
          </w:rPr>
          <w:t>www.stlouisfed.org</w:t>
        </w:r>
      </w:hyperlink>
    </w:p>
    <w:p w14:paraId="5034B3F6" w14:textId="77777777" w:rsidR="003C2252" w:rsidRPr="000A0093" w:rsidRDefault="003C2252" w:rsidP="00FC2664">
      <w:pPr>
        <w:spacing w:line="240" w:lineRule="auto"/>
        <w:rPr>
          <w:bCs/>
          <w:lang w:val="en-US"/>
        </w:rPr>
      </w:pPr>
      <w:r w:rsidRPr="000A0093">
        <w:rPr>
          <w:bCs/>
          <w:lang w:val="en-US"/>
        </w:rPr>
        <w:t>International Monetary Fund, International Financial Statistic.</w:t>
      </w:r>
    </w:p>
    <w:p w14:paraId="10E8C8ED" w14:textId="77777777" w:rsidR="003C2252" w:rsidRPr="000A0093" w:rsidRDefault="003C2252" w:rsidP="00FC2664">
      <w:pPr>
        <w:spacing w:line="240" w:lineRule="auto"/>
        <w:rPr>
          <w:lang w:val="en-US"/>
        </w:rPr>
      </w:pPr>
      <w:r w:rsidRPr="000A0093">
        <w:rPr>
          <w:bCs/>
          <w:lang w:val="en-US"/>
        </w:rPr>
        <w:t>International Monetary Fund, World Economic Outlook Databases.</w:t>
      </w:r>
    </w:p>
    <w:p w14:paraId="4D70D66F" w14:textId="77777777" w:rsidR="003C2252" w:rsidRPr="000A0093" w:rsidRDefault="00AE6893" w:rsidP="00FC2664">
      <w:pPr>
        <w:spacing w:line="240" w:lineRule="auto"/>
        <w:rPr>
          <w:lang w:val="en-US"/>
        </w:rPr>
      </w:pPr>
      <w:proofErr w:type="gramStart"/>
      <w:r w:rsidRPr="000A0093">
        <w:rPr>
          <w:lang w:val="en-US"/>
        </w:rPr>
        <w:t>World Bank</w:t>
      </w:r>
      <w:r w:rsidR="003C2252" w:rsidRPr="000A0093">
        <w:rPr>
          <w:lang w:val="en-US"/>
        </w:rPr>
        <w:t>, Worl</w:t>
      </w:r>
      <w:r w:rsidR="00EF0BEE" w:rsidRPr="000A0093">
        <w:rPr>
          <w:lang w:val="en-US"/>
        </w:rPr>
        <w:t>d Development Indicators.</w:t>
      </w:r>
      <w:proofErr w:type="gramEnd"/>
    </w:p>
    <w:p w14:paraId="7CDF2BD9" w14:textId="77777777" w:rsidR="00FC2664" w:rsidRPr="00D4749A" w:rsidRDefault="00FC2664" w:rsidP="00FC2664">
      <w:pPr>
        <w:spacing w:line="480" w:lineRule="auto"/>
        <w:rPr>
          <w:b/>
          <w:lang w:val="en-GB"/>
        </w:rPr>
      </w:pPr>
    </w:p>
    <w:p w14:paraId="18A227A2" w14:textId="77777777" w:rsidR="001105BD" w:rsidRPr="000A0093" w:rsidRDefault="001105BD" w:rsidP="00FC2664">
      <w:pPr>
        <w:spacing w:line="480" w:lineRule="auto"/>
      </w:pPr>
      <w:r w:rsidRPr="000A0093">
        <w:rPr>
          <w:b/>
        </w:rPr>
        <w:t>Apêndice 1</w:t>
      </w:r>
      <w:r w:rsidRPr="000A0093">
        <w:t xml:space="preserve"> – Resultados dos testes de exogeneidade estrita</w:t>
      </w:r>
    </w:p>
    <w:tbl>
      <w:tblPr>
        <w:tblW w:w="9229" w:type="dxa"/>
        <w:tblInd w:w="55" w:type="dxa"/>
        <w:tblCellMar>
          <w:left w:w="70" w:type="dxa"/>
          <w:right w:w="70" w:type="dxa"/>
        </w:tblCellMar>
        <w:tblLook w:val="04A0" w:firstRow="1" w:lastRow="0" w:firstColumn="1" w:lastColumn="0" w:noHBand="0" w:noVBand="1"/>
      </w:tblPr>
      <w:tblGrid>
        <w:gridCol w:w="1318"/>
        <w:gridCol w:w="682"/>
        <w:gridCol w:w="1138"/>
        <w:gridCol w:w="850"/>
        <w:gridCol w:w="1134"/>
        <w:gridCol w:w="851"/>
        <w:gridCol w:w="1134"/>
        <w:gridCol w:w="988"/>
        <w:gridCol w:w="1134"/>
      </w:tblGrid>
      <w:tr w:rsidR="000A0093" w:rsidRPr="000A0093" w14:paraId="11E72773" w14:textId="77777777" w:rsidTr="00B20941">
        <w:trPr>
          <w:trHeight w:val="330"/>
        </w:trPr>
        <w:tc>
          <w:tcPr>
            <w:tcW w:w="1318" w:type="dxa"/>
            <w:tcBorders>
              <w:top w:val="single" w:sz="4" w:space="0" w:color="auto"/>
              <w:left w:val="nil"/>
              <w:bottom w:val="single" w:sz="8" w:space="0" w:color="auto"/>
              <w:right w:val="nil"/>
            </w:tcBorders>
            <w:shd w:val="clear" w:color="auto" w:fill="auto"/>
            <w:vAlign w:val="center"/>
            <w:hideMark/>
          </w:tcPr>
          <w:p w14:paraId="1FD738D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Variável</w:t>
            </w:r>
          </w:p>
        </w:tc>
        <w:tc>
          <w:tcPr>
            <w:tcW w:w="182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EAB379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FEGLS</w:t>
            </w:r>
          </w:p>
        </w:tc>
        <w:tc>
          <w:tcPr>
            <w:tcW w:w="1984"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97F6B6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w:t>
            </w:r>
          </w:p>
        </w:tc>
        <w:tc>
          <w:tcPr>
            <w:tcW w:w="1985"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8480AF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RE</w:t>
            </w:r>
          </w:p>
        </w:tc>
        <w:tc>
          <w:tcPr>
            <w:tcW w:w="2122" w:type="dxa"/>
            <w:gridSpan w:val="2"/>
            <w:tcBorders>
              <w:top w:val="single" w:sz="4" w:space="0" w:color="auto"/>
              <w:left w:val="nil"/>
              <w:bottom w:val="single" w:sz="8" w:space="0" w:color="auto"/>
              <w:right w:val="nil"/>
            </w:tcBorders>
            <w:shd w:val="clear" w:color="auto" w:fill="auto"/>
            <w:noWrap/>
            <w:vAlign w:val="center"/>
            <w:hideMark/>
          </w:tcPr>
          <w:p w14:paraId="1ED9503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FD</w:t>
            </w:r>
          </w:p>
        </w:tc>
      </w:tr>
      <w:tr w:rsidR="000A0093" w:rsidRPr="000A0093" w14:paraId="1DEE38F1" w14:textId="77777777" w:rsidTr="00B20941">
        <w:trPr>
          <w:trHeight w:val="255"/>
        </w:trPr>
        <w:tc>
          <w:tcPr>
            <w:tcW w:w="1318" w:type="dxa"/>
            <w:tcBorders>
              <w:top w:val="nil"/>
              <w:left w:val="nil"/>
              <w:bottom w:val="nil"/>
              <w:right w:val="nil"/>
            </w:tcBorders>
            <w:shd w:val="clear" w:color="auto" w:fill="auto"/>
            <w:noWrap/>
            <w:vAlign w:val="center"/>
            <w:hideMark/>
          </w:tcPr>
          <w:p w14:paraId="6BE1159B" w14:textId="77777777" w:rsidR="001105BD" w:rsidRPr="000A0093" w:rsidRDefault="001105BD" w:rsidP="00FC2664">
            <w:pPr>
              <w:spacing w:line="240" w:lineRule="auto"/>
              <w:rPr>
                <w:rFonts w:eastAsia="Times New Roman"/>
                <w:sz w:val="20"/>
                <w:szCs w:val="20"/>
                <w:lang w:eastAsia="pt-BR"/>
              </w:rPr>
            </w:pPr>
          </w:p>
        </w:tc>
        <w:tc>
          <w:tcPr>
            <w:tcW w:w="682" w:type="dxa"/>
            <w:tcBorders>
              <w:top w:val="nil"/>
              <w:left w:val="single" w:sz="4" w:space="0" w:color="auto"/>
              <w:bottom w:val="nil"/>
              <w:right w:val="nil"/>
            </w:tcBorders>
            <w:shd w:val="clear" w:color="auto" w:fill="auto"/>
            <w:noWrap/>
            <w:vAlign w:val="center"/>
            <w:hideMark/>
          </w:tcPr>
          <w:p w14:paraId="3506C94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8" w:type="dxa"/>
            <w:tcBorders>
              <w:top w:val="nil"/>
              <w:left w:val="nil"/>
              <w:bottom w:val="nil"/>
              <w:right w:val="single" w:sz="4" w:space="0" w:color="auto"/>
            </w:tcBorders>
            <w:shd w:val="clear" w:color="auto" w:fill="auto"/>
            <w:noWrap/>
            <w:vAlign w:val="center"/>
            <w:hideMark/>
          </w:tcPr>
          <w:p w14:paraId="606581B0" w14:textId="77777777" w:rsidR="001105BD" w:rsidRPr="000A0093" w:rsidRDefault="001105BD" w:rsidP="00FC2664">
            <w:pPr>
              <w:spacing w:line="240" w:lineRule="auto"/>
              <w:rPr>
                <w:rFonts w:eastAsia="Times New Roman"/>
                <w:sz w:val="20"/>
                <w:szCs w:val="20"/>
                <w:lang w:eastAsia="pt-BR"/>
              </w:rPr>
            </w:pPr>
            <w:proofErr w:type="spellStart"/>
            <w:r w:rsidRPr="000A0093">
              <w:rPr>
                <w:rFonts w:eastAsia="Times New Roman"/>
                <w:sz w:val="20"/>
                <w:szCs w:val="20"/>
                <w:lang w:eastAsia="pt-BR"/>
              </w:rPr>
              <w:t>Prob</w:t>
            </w:r>
            <w:proofErr w:type="spellEnd"/>
            <w:r w:rsidRPr="000A0093">
              <w:rPr>
                <w:rFonts w:eastAsia="Times New Roman"/>
                <w:sz w:val="20"/>
                <w:szCs w:val="20"/>
                <w:lang w:eastAsia="pt-BR"/>
              </w:rPr>
              <w:t xml:space="preserve"> &gt; chi2</w:t>
            </w:r>
          </w:p>
        </w:tc>
        <w:tc>
          <w:tcPr>
            <w:tcW w:w="850" w:type="dxa"/>
            <w:tcBorders>
              <w:top w:val="nil"/>
              <w:left w:val="nil"/>
              <w:bottom w:val="nil"/>
              <w:right w:val="nil"/>
            </w:tcBorders>
            <w:shd w:val="clear" w:color="auto" w:fill="auto"/>
            <w:noWrap/>
            <w:vAlign w:val="center"/>
            <w:hideMark/>
          </w:tcPr>
          <w:p w14:paraId="312D1A4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2A56BBE3" w14:textId="77777777" w:rsidR="001105BD" w:rsidRPr="000A0093" w:rsidRDefault="001105BD" w:rsidP="00FC2664">
            <w:pPr>
              <w:spacing w:line="240" w:lineRule="auto"/>
              <w:rPr>
                <w:rFonts w:eastAsia="Times New Roman"/>
                <w:sz w:val="20"/>
                <w:szCs w:val="20"/>
                <w:lang w:eastAsia="pt-BR"/>
              </w:rPr>
            </w:pPr>
            <w:proofErr w:type="spellStart"/>
            <w:r w:rsidRPr="000A0093">
              <w:rPr>
                <w:rFonts w:eastAsia="Times New Roman"/>
                <w:sz w:val="20"/>
                <w:szCs w:val="20"/>
                <w:lang w:eastAsia="pt-BR"/>
              </w:rPr>
              <w:t>Prob</w:t>
            </w:r>
            <w:proofErr w:type="spellEnd"/>
            <w:r w:rsidRPr="000A0093">
              <w:rPr>
                <w:rFonts w:eastAsia="Times New Roman"/>
                <w:sz w:val="20"/>
                <w:szCs w:val="20"/>
                <w:lang w:eastAsia="pt-BR"/>
              </w:rPr>
              <w:t xml:space="preserve"> &gt; chi2</w:t>
            </w:r>
          </w:p>
        </w:tc>
        <w:tc>
          <w:tcPr>
            <w:tcW w:w="851" w:type="dxa"/>
            <w:tcBorders>
              <w:top w:val="nil"/>
              <w:left w:val="nil"/>
              <w:bottom w:val="nil"/>
              <w:right w:val="nil"/>
            </w:tcBorders>
            <w:shd w:val="clear" w:color="auto" w:fill="auto"/>
            <w:noWrap/>
            <w:vAlign w:val="center"/>
            <w:hideMark/>
          </w:tcPr>
          <w:p w14:paraId="5C72CAF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3AE1DF04" w14:textId="77777777" w:rsidR="001105BD" w:rsidRPr="000A0093" w:rsidRDefault="001105BD" w:rsidP="00FC2664">
            <w:pPr>
              <w:spacing w:line="240" w:lineRule="auto"/>
              <w:rPr>
                <w:rFonts w:eastAsia="Times New Roman"/>
                <w:sz w:val="20"/>
                <w:szCs w:val="20"/>
                <w:lang w:eastAsia="pt-BR"/>
              </w:rPr>
            </w:pPr>
            <w:proofErr w:type="spellStart"/>
            <w:r w:rsidRPr="000A0093">
              <w:rPr>
                <w:rFonts w:eastAsia="Times New Roman"/>
                <w:sz w:val="20"/>
                <w:szCs w:val="20"/>
                <w:lang w:eastAsia="pt-BR"/>
              </w:rPr>
              <w:t>Prob</w:t>
            </w:r>
            <w:proofErr w:type="spellEnd"/>
            <w:r w:rsidRPr="000A0093">
              <w:rPr>
                <w:rFonts w:eastAsia="Times New Roman"/>
                <w:sz w:val="20"/>
                <w:szCs w:val="20"/>
                <w:lang w:eastAsia="pt-BR"/>
              </w:rPr>
              <w:t xml:space="preserve"> &gt; chi2</w:t>
            </w:r>
          </w:p>
        </w:tc>
        <w:tc>
          <w:tcPr>
            <w:tcW w:w="988" w:type="dxa"/>
            <w:tcBorders>
              <w:top w:val="nil"/>
              <w:left w:val="nil"/>
              <w:bottom w:val="nil"/>
              <w:right w:val="nil"/>
            </w:tcBorders>
            <w:shd w:val="clear" w:color="auto" w:fill="auto"/>
            <w:noWrap/>
            <w:vAlign w:val="center"/>
            <w:hideMark/>
          </w:tcPr>
          <w:p w14:paraId="063582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nil"/>
            </w:tcBorders>
            <w:shd w:val="clear" w:color="auto" w:fill="auto"/>
            <w:noWrap/>
            <w:vAlign w:val="center"/>
            <w:hideMark/>
          </w:tcPr>
          <w:p w14:paraId="4DDC77D6" w14:textId="77777777" w:rsidR="001105BD" w:rsidRPr="000A0093" w:rsidRDefault="001105BD" w:rsidP="00FC2664">
            <w:pPr>
              <w:spacing w:line="240" w:lineRule="auto"/>
              <w:rPr>
                <w:rFonts w:eastAsia="Times New Roman"/>
                <w:sz w:val="20"/>
                <w:szCs w:val="20"/>
                <w:lang w:eastAsia="pt-BR"/>
              </w:rPr>
            </w:pPr>
            <w:proofErr w:type="spellStart"/>
            <w:r w:rsidRPr="000A0093">
              <w:rPr>
                <w:rFonts w:eastAsia="Times New Roman"/>
                <w:sz w:val="20"/>
                <w:szCs w:val="20"/>
                <w:lang w:eastAsia="pt-BR"/>
              </w:rPr>
              <w:t>Prob</w:t>
            </w:r>
            <w:proofErr w:type="spellEnd"/>
            <w:r w:rsidRPr="000A0093">
              <w:rPr>
                <w:rFonts w:eastAsia="Times New Roman"/>
                <w:sz w:val="20"/>
                <w:szCs w:val="20"/>
                <w:lang w:eastAsia="pt-BR"/>
              </w:rPr>
              <w:t xml:space="preserve"> &gt; chi2</w:t>
            </w:r>
          </w:p>
        </w:tc>
      </w:tr>
      <w:tr w:rsidR="000A0093" w:rsidRPr="000A0093" w14:paraId="218CBB88"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570B341D" w14:textId="77777777" w:rsidR="001105BD" w:rsidRPr="000A0093" w:rsidRDefault="001105BD" w:rsidP="00FC2664">
            <w:pPr>
              <w:spacing w:line="240" w:lineRule="auto"/>
              <w:rPr>
                <w:rFonts w:eastAsia="Times New Roman"/>
                <w:sz w:val="20"/>
                <w:szCs w:val="20"/>
                <w:lang w:eastAsia="pt-BR"/>
              </w:rPr>
            </w:pPr>
            <w:proofErr w:type="gramStart"/>
            <w:r w:rsidRPr="000A0093">
              <w:rPr>
                <w:rFonts w:eastAsia="Times New Roman"/>
                <w:sz w:val="20"/>
                <w:szCs w:val="20"/>
                <w:lang w:eastAsia="pt-BR"/>
              </w:rPr>
              <w:t>cambio</w:t>
            </w:r>
            <w:proofErr w:type="gramEnd"/>
          </w:p>
        </w:tc>
        <w:tc>
          <w:tcPr>
            <w:tcW w:w="682" w:type="dxa"/>
            <w:tcBorders>
              <w:top w:val="nil"/>
              <w:left w:val="nil"/>
              <w:bottom w:val="nil"/>
              <w:right w:val="nil"/>
            </w:tcBorders>
            <w:shd w:val="clear" w:color="auto" w:fill="auto"/>
            <w:noWrap/>
            <w:vAlign w:val="center"/>
            <w:hideMark/>
          </w:tcPr>
          <w:p w14:paraId="63DB301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8" w:type="dxa"/>
            <w:tcBorders>
              <w:top w:val="nil"/>
              <w:left w:val="nil"/>
              <w:bottom w:val="nil"/>
              <w:right w:val="single" w:sz="4" w:space="0" w:color="auto"/>
            </w:tcBorders>
            <w:shd w:val="clear" w:color="auto" w:fill="auto"/>
            <w:noWrap/>
            <w:vAlign w:val="bottom"/>
            <w:hideMark/>
          </w:tcPr>
          <w:p w14:paraId="6AD0263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0,9536</w:t>
            </w:r>
          </w:p>
        </w:tc>
        <w:tc>
          <w:tcPr>
            <w:tcW w:w="850" w:type="dxa"/>
            <w:tcBorders>
              <w:top w:val="nil"/>
              <w:left w:val="nil"/>
              <w:bottom w:val="nil"/>
              <w:right w:val="nil"/>
            </w:tcBorders>
            <w:shd w:val="clear" w:color="auto" w:fill="auto"/>
            <w:noWrap/>
            <w:vAlign w:val="center"/>
            <w:hideMark/>
          </w:tcPr>
          <w:p w14:paraId="4E55DEB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1,60</w:t>
            </w:r>
          </w:p>
        </w:tc>
        <w:tc>
          <w:tcPr>
            <w:tcW w:w="1134" w:type="dxa"/>
            <w:tcBorders>
              <w:top w:val="nil"/>
              <w:left w:val="nil"/>
              <w:bottom w:val="nil"/>
              <w:right w:val="single" w:sz="4" w:space="0" w:color="auto"/>
            </w:tcBorders>
            <w:shd w:val="clear" w:color="auto" w:fill="auto"/>
            <w:noWrap/>
            <w:vAlign w:val="bottom"/>
            <w:hideMark/>
          </w:tcPr>
          <w:p w14:paraId="4F4F210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0,2167</w:t>
            </w:r>
          </w:p>
        </w:tc>
        <w:tc>
          <w:tcPr>
            <w:tcW w:w="851" w:type="dxa"/>
            <w:tcBorders>
              <w:top w:val="nil"/>
              <w:left w:val="nil"/>
              <w:bottom w:val="nil"/>
              <w:right w:val="nil"/>
            </w:tcBorders>
            <w:shd w:val="clear" w:color="auto" w:fill="auto"/>
            <w:noWrap/>
            <w:vAlign w:val="center"/>
            <w:hideMark/>
          </w:tcPr>
          <w:p w14:paraId="29B2C2A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0,22</w:t>
            </w:r>
          </w:p>
        </w:tc>
        <w:tc>
          <w:tcPr>
            <w:tcW w:w="1134" w:type="dxa"/>
            <w:tcBorders>
              <w:top w:val="nil"/>
              <w:left w:val="nil"/>
              <w:bottom w:val="nil"/>
              <w:right w:val="single" w:sz="4" w:space="0" w:color="auto"/>
            </w:tcBorders>
            <w:shd w:val="clear" w:color="auto" w:fill="auto"/>
            <w:noWrap/>
            <w:vAlign w:val="bottom"/>
            <w:hideMark/>
          </w:tcPr>
          <w:p w14:paraId="49E1D0C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0,6427</w:t>
            </w:r>
          </w:p>
        </w:tc>
        <w:tc>
          <w:tcPr>
            <w:tcW w:w="988" w:type="dxa"/>
            <w:tcBorders>
              <w:top w:val="nil"/>
              <w:left w:val="nil"/>
              <w:bottom w:val="nil"/>
              <w:right w:val="nil"/>
            </w:tcBorders>
            <w:shd w:val="clear" w:color="auto" w:fill="auto"/>
            <w:noWrap/>
            <w:vAlign w:val="center"/>
            <w:hideMark/>
          </w:tcPr>
          <w:p w14:paraId="7713AC9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nil"/>
            </w:tcBorders>
            <w:shd w:val="clear" w:color="auto" w:fill="auto"/>
            <w:noWrap/>
            <w:vAlign w:val="bottom"/>
            <w:hideMark/>
          </w:tcPr>
          <w:p w14:paraId="48D153E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0,9847</w:t>
            </w:r>
          </w:p>
        </w:tc>
      </w:tr>
      <w:tr w:rsidR="000A0093" w:rsidRPr="000A0093" w14:paraId="68C60FB4"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2F03187D"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reservas_next</w:t>
            </w:r>
            <w:proofErr w:type="spellEnd"/>
            <w:proofErr w:type="gramEnd"/>
          </w:p>
        </w:tc>
        <w:tc>
          <w:tcPr>
            <w:tcW w:w="682" w:type="dxa"/>
            <w:tcBorders>
              <w:top w:val="nil"/>
              <w:left w:val="nil"/>
              <w:bottom w:val="nil"/>
              <w:right w:val="nil"/>
            </w:tcBorders>
            <w:shd w:val="clear" w:color="auto" w:fill="auto"/>
            <w:noWrap/>
            <w:vAlign w:val="center"/>
            <w:hideMark/>
          </w:tcPr>
          <w:p w14:paraId="24CF433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w:t>
            </w:r>
          </w:p>
        </w:tc>
        <w:tc>
          <w:tcPr>
            <w:tcW w:w="1138" w:type="dxa"/>
            <w:tcBorders>
              <w:top w:val="nil"/>
              <w:left w:val="nil"/>
              <w:bottom w:val="nil"/>
              <w:right w:val="single" w:sz="4" w:space="0" w:color="auto"/>
            </w:tcBorders>
            <w:shd w:val="clear" w:color="auto" w:fill="auto"/>
            <w:noWrap/>
            <w:vAlign w:val="center"/>
            <w:hideMark/>
          </w:tcPr>
          <w:p w14:paraId="3E52334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0,5549</w:t>
            </w:r>
          </w:p>
        </w:tc>
        <w:tc>
          <w:tcPr>
            <w:tcW w:w="850" w:type="dxa"/>
            <w:tcBorders>
              <w:top w:val="nil"/>
              <w:left w:val="nil"/>
              <w:bottom w:val="nil"/>
              <w:right w:val="nil"/>
            </w:tcBorders>
            <w:shd w:val="clear" w:color="auto" w:fill="auto"/>
            <w:noWrap/>
            <w:vAlign w:val="center"/>
            <w:hideMark/>
          </w:tcPr>
          <w:p w14:paraId="728506C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1,05</w:t>
            </w:r>
          </w:p>
        </w:tc>
        <w:tc>
          <w:tcPr>
            <w:tcW w:w="1134" w:type="dxa"/>
            <w:tcBorders>
              <w:top w:val="nil"/>
              <w:left w:val="nil"/>
              <w:bottom w:val="nil"/>
              <w:right w:val="single" w:sz="4" w:space="0" w:color="auto"/>
            </w:tcBorders>
            <w:shd w:val="clear" w:color="auto" w:fill="auto"/>
            <w:noWrap/>
            <w:vAlign w:val="center"/>
            <w:hideMark/>
          </w:tcPr>
          <w:p w14:paraId="7461C2A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0,3133</w:t>
            </w:r>
          </w:p>
        </w:tc>
        <w:tc>
          <w:tcPr>
            <w:tcW w:w="851" w:type="dxa"/>
            <w:tcBorders>
              <w:top w:val="nil"/>
              <w:left w:val="nil"/>
              <w:bottom w:val="nil"/>
              <w:right w:val="nil"/>
            </w:tcBorders>
            <w:shd w:val="clear" w:color="auto" w:fill="auto"/>
            <w:noWrap/>
            <w:vAlign w:val="center"/>
            <w:hideMark/>
          </w:tcPr>
          <w:p w14:paraId="657664A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0,10</w:t>
            </w:r>
          </w:p>
        </w:tc>
        <w:tc>
          <w:tcPr>
            <w:tcW w:w="1134" w:type="dxa"/>
            <w:tcBorders>
              <w:top w:val="nil"/>
              <w:left w:val="nil"/>
              <w:bottom w:val="nil"/>
              <w:right w:val="single" w:sz="4" w:space="0" w:color="auto"/>
            </w:tcBorders>
            <w:shd w:val="clear" w:color="auto" w:fill="auto"/>
            <w:noWrap/>
            <w:vAlign w:val="center"/>
            <w:hideMark/>
          </w:tcPr>
          <w:p w14:paraId="0A0033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0,7531</w:t>
            </w:r>
          </w:p>
        </w:tc>
        <w:tc>
          <w:tcPr>
            <w:tcW w:w="988" w:type="dxa"/>
            <w:tcBorders>
              <w:top w:val="nil"/>
              <w:left w:val="nil"/>
              <w:bottom w:val="nil"/>
              <w:right w:val="nil"/>
            </w:tcBorders>
            <w:shd w:val="clear" w:color="auto" w:fill="auto"/>
            <w:noWrap/>
            <w:vAlign w:val="center"/>
            <w:hideMark/>
          </w:tcPr>
          <w:p w14:paraId="44C8B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w:t>
            </w:r>
          </w:p>
        </w:tc>
        <w:tc>
          <w:tcPr>
            <w:tcW w:w="1134" w:type="dxa"/>
            <w:tcBorders>
              <w:top w:val="nil"/>
              <w:left w:val="nil"/>
              <w:bottom w:val="nil"/>
              <w:right w:val="nil"/>
            </w:tcBorders>
            <w:shd w:val="clear" w:color="auto" w:fill="auto"/>
            <w:noWrap/>
            <w:vAlign w:val="center"/>
            <w:hideMark/>
          </w:tcPr>
          <w:p w14:paraId="6272CA4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0,3852</w:t>
            </w:r>
          </w:p>
        </w:tc>
      </w:tr>
      <w:tr w:rsidR="000A0093" w:rsidRPr="000A0093" w14:paraId="4511FA3D" w14:textId="77777777" w:rsidTr="00B20941">
        <w:trPr>
          <w:trHeight w:val="255"/>
        </w:trPr>
        <w:tc>
          <w:tcPr>
            <w:tcW w:w="1318" w:type="dxa"/>
            <w:tcBorders>
              <w:top w:val="nil"/>
              <w:left w:val="nil"/>
              <w:bottom w:val="nil"/>
              <w:right w:val="nil"/>
            </w:tcBorders>
            <w:shd w:val="clear" w:color="auto" w:fill="auto"/>
            <w:vAlign w:val="center"/>
            <w:hideMark/>
          </w:tcPr>
          <w:p w14:paraId="11556268"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detpe_next</w:t>
            </w:r>
            <w:proofErr w:type="spellEnd"/>
            <w:proofErr w:type="gramEnd"/>
          </w:p>
        </w:tc>
        <w:tc>
          <w:tcPr>
            <w:tcW w:w="682" w:type="dxa"/>
            <w:tcBorders>
              <w:top w:val="nil"/>
              <w:left w:val="single" w:sz="4" w:space="0" w:color="auto"/>
              <w:bottom w:val="nil"/>
              <w:right w:val="nil"/>
            </w:tcBorders>
            <w:shd w:val="clear" w:color="auto" w:fill="auto"/>
            <w:noWrap/>
            <w:vAlign w:val="center"/>
            <w:hideMark/>
          </w:tcPr>
          <w:p w14:paraId="13ACE67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0,12</w:t>
            </w:r>
          </w:p>
        </w:tc>
        <w:tc>
          <w:tcPr>
            <w:tcW w:w="1138" w:type="dxa"/>
            <w:tcBorders>
              <w:top w:val="nil"/>
              <w:left w:val="nil"/>
              <w:bottom w:val="nil"/>
              <w:right w:val="single" w:sz="4" w:space="0" w:color="auto"/>
            </w:tcBorders>
            <w:shd w:val="clear" w:color="auto" w:fill="auto"/>
            <w:noWrap/>
            <w:vAlign w:val="center"/>
            <w:hideMark/>
          </w:tcPr>
          <w:p w14:paraId="6B12C71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0,7282</w:t>
            </w:r>
          </w:p>
        </w:tc>
        <w:tc>
          <w:tcPr>
            <w:tcW w:w="850" w:type="dxa"/>
            <w:tcBorders>
              <w:top w:val="nil"/>
              <w:left w:val="nil"/>
              <w:bottom w:val="nil"/>
              <w:right w:val="nil"/>
            </w:tcBorders>
            <w:shd w:val="clear" w:color="auto" w:fill="auto"/>
            <w:noWrap/>
            <w:vAlign w:val="center"/>
            <w:hideMark/>
          </w:tcPr>
          <w:p w14:paraId="4A6C7E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0,04</w:t>
            </w:r>
          </w:p>
        </w:tc>
        <w:tc>
          <w:tcPr>
            <w:tcW w:w="1134" w:type="dxa"/>
            <w:tcBorders>
              <w:top w:val="nil"/>
              <w:left w:val="nil"/>
              <w:bottom w:val="nil"/>
              <w:right w:val="single" w:sz="4" w:space="0" w:color="auto"/>
            </w:tcBorders>
            <w:shd w:val="clear" w:color="auto" w:fill="auto"/>
            <w:noWrap/>
            <w:vAlign w:val="center"/>
            <w:hideMark/>
          </w:tcPr>
          <w:p w14:paraId="3F50B49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0,8426</w:t>
            </w:r>
          </w:p>
        </w:tc>
        <w:tc>
          <w:tcPr>
            <w:tcW w:w="851" w:type="dxa"/>
            <w:tcBorders>
              <w:top w:val="nil"/>
              <w:left w:val="nil"/>
              <w:bottom w:val="nil"/>
              <w:right w:val="nil"/>
            </w:tcBorders>
            <w:shd w:val="clear" w:color="auto" w:fill="auto"/>
            <w:noWrap/>
            <w:vAlign w:val="center"/>
            <w:hideMark/>
          </w:tcPr>
          <w:p w14:paraId="162D9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w:t>
            </w:r>
          </w:p>
        </w:tc>
        <w:tc>
          <w:tcPr>
            <w:tcW w:w="1134" w:type="dxa"/>
            <w:tcBorders>
              <w:top w:val="nil"/>
              <w:left w:val="nil"/>
              <w:bottom w:val="nil"/>
              <w:right w:val="single" w:sz="4" w:space="0" w:color="auto"/>
            </w:tcBorders>
            <w:shd w:val="clear" w:color="auto" w:fill="auto"/>
            <w:noWrap/>
            <w:vAlign w:val="center"/>
            <w:hideMark/>
          </w:tcPr>
          <w:p w14:paraId="6D580E1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0,5770</w:t>
            </w:r>
          </w:p>
        </w:tc>
        <w:tc>
          <w:tcPr>
            <w:tcW w:w="988" w:type="dxa"/>
            <w:tcBorders>
              <w:top w:val="nil"/>
              <w:left w:val="nil"/>
              <w:bottom w:val="nil"/>
              <w:right w:val="nil"/>
            </w:tcBorders>
            <w:shd w:val="clear" w:color="auto" w:fill="auto"/>
            <w:noWrap/>
            <w:vAlign w:val="center"/>
            <w:hideMark/>
          </w:tcPr>
          <w:p w14:paraId="6621205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0,05</w:t>
            </w:r>
          </w:p>
        </w:tc>
        <w:tc>
          <w:tcPr>
            <w:tcW w:w="1134" w:type="dxa"/>
            <w:tcBorders>
              <w:top w:val="nil"/>
              <w:left w:val="nil"/>
              <w:bottom w:val="nil"/>
              <w:right w:val="nil"/>
            </w:tcBorders>
            <w:shd w:val="clear" w:color="auto" w:fill="auto"/>
            <w:noWrap/>
            <w:vAlign w:val="center"/>
            <w:hideMark/>
          </w:tcPr>
          <w:p w14:paraId="1FE23B8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0,8238</w:t>
            </w:r>
          </w:p>
        </w:tc>
      </w:tr>
      <w:tr w:rsidR="000A0093" w:rsidRPr="000A0093" w14:paraId="55253840" w14:textId="77777777" w:rsidTr="00B20941">
        <w:trPr>
          <w:trHeight w:val="255"/>
        </w:trPr>
        <w:tc>
          <w:tcPr>
            <w:tcW w:w="1318" w:type="dxa"/>
            <w:tcBorders>
              <w:top w:val="nil"/>
              <w:left w:val="nil"/>
              <w:bottom w:val="nil"/>
              <w:right w:val="nil"/>
            </w:tcBorders>
            <w:shd w:val="clear" w:color="auto" w:fill="auto"/>
            <w:vAlign w:val="center"/>
            <w:hideMark/>
          </w:tcPr>
          <w:p w14:paraId="5DB9D458"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dividai_next</w:t>
            </w:r>
            <w:proofErr w:type="spellEnd"/>
            <w:proofErr w:type="gramEnd"/>
          </w:p>
        </w:tc>
        <w:tc>
          <w:tcPr>
            <w:tcW w:w="682" w:type="dxa"/>
            <w:tcBorders>
              <w:top w:val="nil"/>
              <w:left w:val="single" w:sz="4" w:space="0" w:color="auto"/>
              <w:bottom w:val="nil"/>
              <w:right w:val="nil"/>
            </w:tcBorders>
            <w:shd w:val="clear" w:color="auto" w:fill="auto"/>
            <w:noWrap/>
            <w:vAlign w:val="center"/>
            <w:hideMark/>
          </w:tcPr>
          <w:p w14:paraId="3D141A2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0,20</w:t>
            </w:r>
          </w:p>
        </w:tc>
        <w:tc>
          <w:tcPr>
            <w:tcW w:w="1138" w:type="dxa"/>
            <w:tcBorders>
              <w:top w:val="nil"/>
              <w:left w:val="nil"/>
              <w:bottom w:val="nil"/>
              <w:right w:val="single" w:sz="4" w:space="0" w:color="auto"/>
            </w:tcBorders>
            <w:shd w:val="clear" w:color="auto" w:fill="auto"/>
            <w:noWrap/>
            <w:vAlign w:val="center"/>
            <w:hideMark/>
          </w:tcPr>
          <w:p w14:paraId="473CDA8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0,6557</w:t>
            </w:r>
          </w:p>
        </w:tc>
        <w:tc>
          <w:tcPr>
            <w:tcW w:w="850" w:type="dxa"/>
            <w:tcBorders>
              <w:top w:val="nil"/>
              <w:left w:val="nil"/>
              <w:bottom w:val="nil"/>
              <w:right w:val="nil"/>
            </w:tcBorders>
            <w:shd w:val="clear" w:color="auto" w:fill="auto"/>
            <w:noWrap/>
            <w:vAlign w:val="center"/>
            <w:hideMark/>
          </w:tcPr>
          <w:p w14:paraId="0498775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0,52</w:t>
            </w:r>
          </w:p>
        </w:tc>
        <w:tc>
          <w:tcPr>
            <w:tcW w:w="1134" w:type="dxa"/>
            <w:tcBorders>
              <w:top w:val="nil"/>
              <w:left w:val="nil"/>
              <w:bottom w:val="nil"/>
              <w:right w:val="single" w:sz="4" w:space="0" w:color="auto"/>
            </w:tcBorders>
            <w:shd w:val="clear" w:color="auto" w:fill="auto"/>
            <w:noWrap/>
            <w:vAlign w:val="center"/>
            <w:hideMark/>
          </w:tcPr>
          <w:p w14:paraId="6827EA1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0,4752</w:t>
            </w:r>
          </w:p>
        </w:tc>
        <w:tc>
          <w:tcPr>
            <w:tcW w:w="851" w:type="dxa"/>
            <w:tcBorders>
              <w:top w:val="nil"/>
              <w:left w:val="nil"/>
              <w:bottom w:val="nil"/>
              <w:right w:val="nil"/>
            </w:tcBorders>
            <w:shd w:val="clear" w:color="auto" w:fill="auto"/>
            <w:noWrap/>
            <w:vAlign w:val="center"/>
            <w:hideMark/>
          </w:tcPr>
          <w:p w14:paraId="5E4CAD9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2,07</w:t>
            </w:r>
          </w:p>
        </w:tc>
        <w:tc>
          <w:tcPr>
            <w:tcW w:w="1134" w:type="dxa"/>
            <w:tcBorders>
              <w:top w:val="nil"/>
              <w:left w:val="nil"/>
              <w:bottom w:val="nil"/>
              <w:right w:val="single" w:sz="4" w:space="0" w:color="auto"/>
            </w:tcBorders>
            <w:shd w:val="clear" w:color="auto" w:fill="auto"/>
            <w:noWrap/>
            <w:vAlign w:val="center"/>
            <w:hideMark/>
          </w:tcPr>
          <w:p w14:paraId="3EABE1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0,1503</w:t>
            </w:r>
          </w:p>
        </w:tc>
        <w:tc>
          <w:tcPr>
            <w:tcW w:w="988" w:type="dxa"/>
            <w:tcBorders>
              <w:top w:val="nil"/>
              <w:left w:val="nil"/>
              <w:bottom w:val="nil"/>
              <w:right w:val="nil"/>
            </w:tcBorders>
            <w:shd w:val="clear" w:color="auto" w:fill="auto"/>
            <w:noWrap/>
            <w:vAlign w:val="center"/>
            <w:hideMark/>
          </w:tcPr>
          <w:p w14:paraId="62EB6AF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nil"/>
            </w:tcBorders>
            <w:shd w:val="clear" w:color="auto" w:fill="auto"/>
            <w:noWrap/>
            <w:vAlign w:val="center"/>
            <w:hideMark/>
          </w:tcPr>
          <w:p w14:paraId="7C72A4B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0,7931</w:t>
            </w:r>
          </w:p>
        </w:tc>
      </w:tr>
      <w:tr w:rsidR="000A0093" w:rsidRPr="000A0093" w14:paraId="3B24E369" w14:textId="77777777" w:rsidTr="00B20941">
        <w:trPr>
          <w:trHeight w:val="270"/>
        </w:trPr>
        <w:tc>
          <w:tcPr>
            <w:tcW w:w="1318" w:type="dxa"/>
            <w:tcBorders>
              <w:top w:val="nil"/>
              <w:left w:val="nil"/>
              <w:bottom w:val="nil"/>
              <w:right w:val="nil"/>
            </w:tcBorders>
            <w:shd w:val="clear" w:color="auto" w:fill="auto"/>
            <w:vAlign w:val="center"/>
            <w:hideMark/>
          </w:tcPr>
          <w:p w14:paraId="0FEBC532"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jurosd_next</w:t>
            </w:r>
            <w:proofErr w:type="spellEnd"/>
            <w:proofErr w:type="gramEnd"/>
          </w:p>
        </w:tc>
        <w:tc>
          <w:tcPr>
            <w:tcW w:w="682" w:type="dxa"/>
            <w:tcBorders>
              <w:top w:val="nil"/>
              <w:left w:val="single" w:sz="4" w:space="0" w:color="auto"/>
              <w:bottom w:val="nil"/>
              <w:right w:val="nil"/>
            </w:tcBorders>
            <w:shd w:val="clear" w:color="auto" w:fill="auto"/>
            <w:noWrap/>
            <w:vAlign w:val="center"/>
            <w:hideMark/>
          </w:tcPr>
          <w:p w14:paraId="62F8CFC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0,08</w:t>
            </w:r>
          </w:p>
        </w:tc>
        <w:tc>
          <w:tcPr>
            <w:tcW w:w="1138" w:type="dxa"/>
            <w:tcBorders>
              <w:top w:val="nil"/>
              <w:left w:val="nil"/>
              <w:bottom w:val="nil"/>
              <w:right w:val="single" w:sz="4" w:space="0" w:color="auto"/>
            </w:tcBorders>
            <w:shd w:val="clear" w:color="auto" w:fill="auto"/>
            <w:noWrap/>
            <w:vAlign w:val="center"/>
            <w:hideMark/>
          </w:tcPr>
          <w:p w14:paraId="7E46E8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0,7732</w:t>
            </w:r>
          </w:p>
        </w:tc>
        <w:tc>
          <w:tcPr>
            <w:tcW w:w="850" w:type="dxa"/>
            <w:tcBorders>
              <w:top w:val="nil"/>
              <w:left w:val="nil"/>
              <w:bottom w:val="nil"/>
              <w:right w:val="nil"/>
            </w:tcBorders>
            <w:shd w:val="clear" w:color="auto" w:fill="auto"/>
            <w:noWrap/>
            <w:vAlign w:val="center"/>
            <w:hideMark/>
          </w:tcPr>
          <w:p w14:paraId="0156D6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single" w:sz="4" w:space="0" w:color="auto"/>
            </w:tcBorders>
            <w:shd w:val="clear" w:color="auto" w:fill="auto"/>
            <w:noWrap/>
            <w:vAlign w:val="center"/>
            <w:hideMark/>
          </w:tcPr>
          <w:p w14:paraId="7B6FFC4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0,7938</w:t>
            </w:r>
          </w:p>
        </w:tc>
        <w:tc>
          <w:tcPr>
            <w:tcW w:w="851" w:type="dxa"/>
            <w:tcBorders>
              <w:top w:val="nil"/>
              <w:left w:val="nil"/>
              <w:bottom w:val="nil"/>
              <w:right w:val="nil"/>
            </w:tcBorders>
            <w:shd w:val="clear" w:color="auto" w:fill="auto"/>
            <w:noWrap/>
            <w:vAlign w:val="center"/>
            <w:hideMark/>
          </w:tcPr>
          <w:p w14:paraId="122E6C2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single" w:sz="4" w:space="0" w:color="auto"/>
            </w:tcBorders>
            <w:shd w:val="clear" w:color="auto" w:fill="auto"/>
            <w:noWrap/>
            <w:vAlign w:val="center"/>
            <w:hideMark/>
          </w:tcPr>
          <w:p w14:paraId="19F85F0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0,9623</w:t>
            </w:r>
          </w:p>
        </w:tc>
        <w:tc>
          <w:tcPr>
            <w:tcW w:w="988" w:type="dxa"/>
            <w:tcBorders>
              <w:top w:val="nil"/>
              <w:left w:val="nil"/>
              <w:bottom w:val="nil"/>
              <w:right w:val="nil"/>
            </w:tcBorders>
            <w:shd w:val="clear" w:color="auto" w:fill="auto"/>
            <w:noWrap/>
            <w:vAlign w:val="center"/>
            <w:hideMark/>
          </w:tcPr>
          <w:p w14:paraId="6861515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0,50</w:t>
            </w:r>
          </w:p>
        </w:tc>
        <w:tc>
          <w:tcPr>
            <w:tcW w:w="1134" w:type="dxa"/>
            <w:tcBorders>
              <w:top w:val="nil"/>
              <w:left w:val="nil"/>
              <w:bottom w:val="nil"/>
              <w:right w:val="nil"/>
            </w:tcBorders>
            <w:shd w:val="clear" w:color="auto" w:fill="auto"/>
            <w:noWrap/>
            <w:vAlign w:val="center"/>
            <w:hideMark/>
          </w:tcPr>
          <w:p w14:paraId="787BA99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0,4780</w:t>
            </w:r>
          </w:p>
        </w:tc>
      </w:tr>
      <w:tr w:rsidR="000A0093" w:rsidRPr="000A0093" w14:paraId="060DEEA2" w14:textId="77777777" w:rsidTr="00B20941">
        <w:trPr>
          <w:trHeight w:val="270"/>
        </w:trPr>
        <w:tc>
          <w:tcPr>
            <w:tcW w:w="1318" w:type="dxa"/>
            <w:tcBorders>
              <w:top w:val="nil"/>
              <w:left w:val="nil"/>
              <w:bottom w:val="nil"/>
              <w:right w:val="nil"/>
            </w:tcBorders>
            <w:shd w:val="clear" w:color="auto" w:fill="auto"/>
            <w:vAlign w:val="center"/>
          </w:tcPr>
          <w:p w14:paraId="113514C7"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tc_next</w:t>
            </w:r>
            <w:proofErr w:type="spellEnd"/>
            <w:proofErr w:type="gramEnd"/>
          </w:p>
        </w:tc>
        <w:tc>
          <w:tcPr>
            <w:tcW w:w="682" w:type="dxa"/>
            <w:tcBorders>
              <w:top w:val="nil"/>
              <w:left w:val="single" w:sz="4" w:space="0" w:color="auto"/>
              <w:bottom w:val="nil"/>
              <w:right w:val="nil"/>
            </w:tcBorders>
            <w:shd w:val="clear" w:color="auto" w:fill="auto"/>
            <w:noWrap/>
            <w:vAlign w:val="center"/>
          </w:tcPr>
          <w:p w14:paraId="3C6AE3C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8" w:type="dxa"/>
            <w:tcBorders>
              <w:top w:val="nil"/>
              <w:left w:val="nil"/>
              <w:bottom w:val="nil"/>
              <w:right w:val="single" w:sz="4" w:space="0" w:color="auto"/>
            </w:tcBorders>
            <w:shd w:val="clear" w:color="auto" w:fill="auto"/>
            <w:noWrap/>
            <w:vAlign w:val="center"/>
          </w:tcPr>
          <w:p w14:paraId="6BB0CF5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0,6025</w:t>
            </w:r>
          </w:p>
        </w:tc>
        <w:tc>
          <w:tcPr>
            <w:tcW w:w="850" w:type="dxa"/>
            <w:tcBorders>
              <w:top w:val="nil"/>
              <w:left w:val="nil"/>
              <w:bottom w:val="nil"/>
              <w:right w:val="nil"/>
            </w:tcBorders>
            <w:shd w:val="clear" w:color="auto" w:fill="auto"/>
            <w:noWrap/>
            <w:vAlign w:val="center"/>
          </w:tcPr>
          <w:p w14:paraId="790FF19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4" w:type="dxa"/>
            <w:tcBorders>
              <w:top w:val="nil"/>
              <w:left w:val="nil"/>
              <w:bottom w:val="nil"/>
              <w:right w:val="single" w:sz="4" w:space="0" w:color="auto"/>
            </w:tcBorders>
            <w:shd w:val="clear" w:color="auto" w:fill="auto"/>
            <w:noWrap/>
            <w:vAlign w:val="center"/>
          </w:tcPr>
          <w:p w14:paraId="73B4CAC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0,6089</w:t>
            </w:r>
          </w:p>
        </w:tc>
        <w:tc>
          <w:tcPr>
            <w:tcW w:w="851" w:type="dxa"/>
            <w:tcBorders>
              <w:top w:val="nil"/>
              <w:left w:val="nil"/>
              <w:bottom w:val="nil"/>
              <w:right w:val="nil"/>
            </w:tcBorders>
            <w:shd w:val="clear" w:color="auto" w:fill="auto"/>
            <w:noWrap/>
            <w:vAlign w:val="center"/>
          </w:tcPr>
          <w:p w14:paraId="79D538A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1,00</w:t>
            </w:r>
          </w:p>
        </w:tc>
        <w:tc>
          <w:tcPr>
            <w:tcW w:w="1134" w:type="dxa"/>
            <w:tcBorders>
              <w:top w:val="nil"/>
              <w:left w:val="nil"/>
              <w:bottom w:val="nil"/>
              <w:right w:val="single" w:sz="4" w:space="0" w:color="auto"/>
            </w:tcBorders>
            <w:shd w:val="clear" w:color="auto" w:fill="auto"/>
            <w:noWrap/>
            <w:vAlign w:val="center"/>
          </w:tcPr>
          <w:p w14:paraId="03EAFCD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0,3181</w:t>
            </w:r>
          </w:p>
        </w:tc>
        <w:tc>
          <w:tcPr>
            <w:tcW w:w="988" w:type="dxa"/>
            <w:tcBorders>
              <w:top w:val="nil"/>
              <w:left w:val="nil"/>
              <w:bottom w:val="nil"/>
              <w:right w:val="nil"/>
            </w:tcBorders>
            <w:shd w:val="clear" w:color="auto" w:fill="auto"/>
            <w:noWrap/>
            <w:vAlign w:val="center"/>
          </w:tcPr>
          <w:p w14:paraId="68F38BE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w:t>
            </w:r>
          </w:p>
        </w:tc>
        <w:tc>
          <w:tcPr>
            <w:tcW w:w="1134" w:type="dxa"/>
            <w:tcBorders>
              <w:top w:val="nil"/>
              <w:left w:val="nil"/>
              <w:bottom w:val="nil"/>
              <w:right w:val="nil"/>
            </w:tcBorders>
            <w:shd w:val="clear" w:color="auto" w:fill="auto"/>
            <w:noWrap/>
            <w:vAlign w:val="center"/>
          </w:tcPr>
          <w:p w14:paraId="624B83D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0,5363</w:t>
            </w:r>
          </w:p>
        </w:tc>
      </w:tr>
      <w:tr w:rsidR="000A0093" w:rsidRPr="000A0093" w14:paraId="05D783AE" w14:textId="77777777" w:rsidTr="00B20941">
        <w:trPr>
          <w:trHeight w:val="270"/>
        </w:trPr>
        <w:tc>
          <w:tcPr>
            <w:tcW w:w="1318" w:type="dxa"/>
            <w:tcBorders>
              <w:top w:val="nil"/>
              <w:left w:val="nil"/>
              <w:bottom w:val="nil"/>
              <w:right w:val="nil"/>
            </w:tcBorders>
            <w:shd w:val="clear" w:color="auto" w:fill="auto"/>
            <w:vAlign w:val="center"/>
          </w:tcPr>
          <w:p w14:paraId="5F886550" w14:textId="77777777" w:rsidR="001105BD" w:rsidRPr="000A0093" w:rsidRDefault="001105BD" w:rsidP="00FC2664">
            <w:pPr>
              <w:spacing w:line="240" w:lineRule="auto"/>
              <w:rPr>
                <w:rFonts w:eastAsia="Times New Roman"/>
                <w:sz w:val="20"/>
                <w:szCs w:val="20"/>
                <w:lang w:eastAsia="pt-BR"/>
              </w:rPr>
            </w:pPr>
            <w:proofErr w:type="spellStart"/>
            <w:proofErr w:type="gramStart"/>
            <w:r w:rsidRPr="000A0093">
              <w:rPr>
                <w:rFonts w:eastAsia="Times New Roman"/>
                <w:sz w:val="20"/>
                <w:szCs w:val="20"/>
                <w:lang w:eastAsia="pt-BR"/>
              </w:rPr>
              <w:t>inflacaoa_next</w:t>
            </w:r>
            <w:proofErr w:type="spellEnd"/>
            <w:proofErr w:type="gramEnd"/>
          </w:p>
        </w:tc>
        <w:tc>
          <w:tcPr>
            <w:tcW w:w="682" w:type="dxa"/>
            <w:tcBorders>
              <w:top w:val="nil"/>
              <w:left w:val="single" w:sz="4" w:space="0" w:color="auto"/>
              <w:bottom w:val="nil"/>
              <w:right w:val="nil"/>
            </w:tcBorders>
            <w:shd w:val="clear" w:color="auto" w:fill="auto"/>
            <w:noWrap/>
            <w:vAlign w:val="center"/>
          </w:tcPr>
          <w:p w14:paraId="0EA38B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0,85</w:t>
            </w:r>
          </w:p>
        </w:tc>
        <w:tc>
          <w:tcPr>
            <w:tcW w:w="1138" w:type="dxa"/>
            <w:tcBorders>
              <w:top w:val="nil"/>
              <w:left w:val="nil"/>
              <w:bottom w:val="nil"/>
              <w:right w:val="single" w:sz="4" w:space="0" w:color="auto"/>
            </w:tcBorders>
            <w:shd w:val="clear" w:color="auto" w:fill="auto"/>
            <w:noWrap/>
            <w:vAlign w:val="center"/>
          </w:tcPr>
          <w:p w14:paraId="331FF4E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0,3576</w:t>
            </w:r>
          </w:p>
        </w:tc>
        <w:tc>
          <w:tcPr>
            <w:tcW w:w="850" w:type="dxa"/>
            <w:tcBorders>
              <w:top w:val="nil"/>
              <w:left w:val="nil"/>
              <w:bottom w:val="nil"/>
              <w:right w:val="nil"/>
            </w:tcBorders>
            <w:shd w:val="clear" w:color="auto" w:fill="auto"/>
            <w:noWrap/>
            <w:vAlign w:val="center"/>
          </w:tcPr>
          <w:p w14:paraId="6C02FF6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0,17</w:t>
            </w:r>
          </w:p>
        </w:tc>
        <w:tc>
          <w:tcPr>
            <w:tcW w:w="1134" w:type="dxa"/>
            <w:tcBorders>
              <w:top w:val="nil"/>
              <w:left w:val="nil"/>
              <w:bottom w:val="nil"/>
              <w:right w:val="single" w:sz="4" w:space="0" w:color="auto"/>
            </w:tcBorders>
            <w:shd w:val="clear" w:color="auto" w:fill="auto"/>
            <w:noWrap/>
            <w:vAlign w:val="center"/>
          </w:tcPr>
          <w:p w14:paraId="4A0E240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0,6853</w:t>
            </w:r>
          </w:p>
        </w:tc>
        <w:tc>
          <w:tcPr>
            <w:tcW w:w="851" w:type="dxa"/>
            <w:tcBorders>
              <w:top w:val="nil"/>
              <w:left w:val="nil"/>
              <w:bottom w:val="nil"/>
              <w:right w:val="nil"/>
            </w:tcBorders>
            <w:shd w:val="clear" w:color="auto" w:fill="auto"/>
            <w:noWrap/>
            <w:vAlign w:val="center"/>
          </w:tcPr>
          <w:p w14:paraId="1B89378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w:t>
            </w:r>
          </w:p>
        </w:tc>
        <w:tc>
          <w:tcPr>
            <w:tcW w:w="1134" w:type="dxa"/>
            <w:tcBorders>
              <w:top w:val="nil"/>
              <w:left w:val="nil"/>
              <w:bottom w:val="nil"/>
              <w:right w:val="single" w:sz="4" w:space="0" w:color="auto"/>
            </w:tcBorders>
            <w:shd w:val="clear" w:color="auto" w:fill="auto"/>
            <w:noWrap/>
            <w:vAlign w:val="center"/>
          </w:tcPr>
          <w:p w14:paraId="7A23E9B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0,6949</w:t>
            </w:r>
          </w:p>
        </w:tc>
        <w:tc>
          <w:tcPr>
            <w:tcW w:w="988" w:type="dxa"/>
            <w:tcBorders>
              <w:top w:val="nil"/>
              <w:left w:val="nil"/>
              <w:bottom w:val="nil"/>
              <w:right w:val="nil"/>
            </w:tcBorders>
            <w:shd w:val="clear" w:color="auto" w:fill="auto"/>
            <w:noWrap/>
            <w:vAlign w:val="center"/>
          </w:tcPr>
          <w:p w14:paraId="4ECB049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0,51</w:t>
            </w:r>
          </w:p>
        </w:tc>
        <w:tc>
          <w:tcPr>
            <w:tcW w:w="1134" w:type="dxa"/>
            <w:tcBorders>
              <w:top w:val="nil"/>
              <w:left w:val="nil"/>
              <w:bottom w:val="nil"/>
              <w:right w:val="nil"/>
            </w:tcBorders>
            <w:shd w:val="clear" w:color="auto" w:fill="auto"/>
            <w:noWrap/>
            <w:vAlign w:val="center"/>
          </w:tcPr>
          <w:p w14:paraId="5D7C550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0,4746</w:t>
            </w:r>
          </w:p>
        </w:tc>
      </w:tr>
      <w:tr w:rsidR="000A0093" w:rsidRPr="000A0093" w14:paraId="6039D077" w14:textId="77777777" w:rsidTr="00B20941">
        <w:trPr>
          <w:trHeight w:val="270"/>
        </w:trPr>
        <w:tc>
          <w:tcPr>
            <w:tcW w:w="1318" w:type="dxa"/>
            <w:tcBorders>
              <w:top w:val="nil"/>
              <w:left w:val="nil"/>
              <w:bottom w:val="single" w:sz="8" w:space="0" w:color="auto"/>
              <w:right w:val="nil"/>
            </w:tcBorders>
            <w:shd w:val="clear" w:color="auto" w:fill="auto"/>
            <w:vAlign w:val="center"/>
          </w:tcPr>
          <w:p w14:paraId="37E36747" w14:textId="77777777" w:rsidR="001105BD" w:rsidRPr="000A0093" w:rsidRDefault="001105BD" w:rsidP="00FC2664">
            <w:pPr>
              <w:spacing w:line="240" w:lineRule="auto"/>
              <w:rPr>
                <w:rFonts w:eastAsia="Times New Roman"/>
                <w:sz w:val="20"/>
                <w:szCs w:val="20"/>
                <w:lang w:eastAsia="pt-BR"/>
              </w:rPr>
            </w:pPr>
            <w:proofErr w:type="gramStart"/>
            <w:r w:rsidRPr="000A0093">
              <w:rPr>
                <w:rFonts w:eastAsia="Times New Roman"/>
                <w:sz w:val="20"/>
                <w:szCs w:val="20"/>
                <w:lang w:eastAsia="pt-BR"/>
              </w:rPr>
              <w:t>pib2005</w:t>
            </w:r>
            <w:proofErr w:type="gramEnd"/>
            <w:r w:rsidRPr="000A0093">
              <w:rPr>
                <w:rFonts w:eastAsia="Times New Roman"/>
                <w:sz w:val="20"/>
                <w:szCs w:val="20"/>
                <w:lang w:eastAsia="pt-BR"/>
              </w:rPr>
              <w:t>_next</w:t>
            </w:r>
          </w:p>
        </w:tc>
        <w:tc>
          <w:tcPr>
            <w:tcW w:w="682" w:type="dxa"/>
            <w:tcBorders>
              <w:top w:val="nil"/>
              <w:left w:val="single" w:sz="4" w:space="0" w:color="auto"/>
              <w:bottom w:val="single" w:sz="8" w:space="0" w:color="auto"/>
              <w:right w:val="nil"/>
            </w:tcBorders>
            <w:shd w:val="clear" w:color="auto" w:fill="auto"/>
            <w:noWrap/>
            <w:vAlign w:val="center"/>
          </w:tcPr>
          <w:p w14:paraId="29FDEA0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0,06</w:t>
            </w:r>
          </w:p>
        </w:tc>
        <w:tc>
          <w:tcPr>
            <w:tcW w:w="1138" w:type="dxa"/>
            <w:tcBorders>
              <w:top w:val="nil"/>
              <w:left w:val="nil"/>
              <w:bottom w:val="single" w:sz="8" w:space="0" w:color="auto"/>
              <w:right w:val="single" w:sz="4" w:space="0" w:color="auto"/>
            </w:tcBorders>
            <w:shd w:val="clear" w:color="auto" w:fill="auto"/>
            <w:noWrap/>
            <w:vAlign w:val="center"/>
          </w:tcPr>
          <w:p w14:paraId="0D08FE1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0,8021</w:t>
            </w:r>
          </w:p>
        </w:tc>
        <w:tc>
          <w:tcPr>
            <w:tcW w:w="850" w:type="dxa"/>
            <w:tcBorders>
              <w:top w:val="nil"/>
              <w:left w:val="nil"/>
              <w:bottom w:val="single" w:sz="8" w:space="0" w:color="auto"/>
              <w:right w:val="nil"/>
            </w:tcBorders>
            <w:shd w:val="clear" w:color="auto" w:fill="auto"/>
            <w:noWrap/>
            <w:vAlign w:val="center"/>
          </w:tcPr>
          <w:p w14:paraId="2D07A9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0,01</w:t>
            </w:r>
          </w:p>
        </w:tc>
        <w:tc>
          <w:tcPr>
            <w:tcW w:w="1134" w:type="dxa"/>
            <w:tcBorders>
              <w:top w:val="nil"/>
              <w:left w:val="nil"/>
              <w:bottom w:val="single" w:sz="8" w:space="0" w:color="auto"/>
              <w:right w:val="single" w:sz="4" w:space="0" w:color="auto"/>
            </w:tcBorders>
            <w:shd w:val="clear" w:color="auto" w:fill="auto"/>
            <w:noWrap/>
            <w:vAlign w:val="center"/>
          </w:tcPr>
          <w:p w14:paraId="1A114A9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0,9118</w:t>
            </w:r>
          </w:p>
        </w:tc>
        <w:tc>
          <w:tcPr>
            <w:tcW w:w="851" w:type="dxa"/>
            <w:tcBorders>
              <w:top w:val="nil"/>
              <w:left w:val="nil"/>
              <w:bottom w:val="single" w:sz="8" w:space="0" w:color="auto"/>
              <w:right w:val="nil"/>
            </w:tcBorders>
            <w:shd w:val="clear" w:color="auto" w:fill="auto"/>
            <w:noWrap/>
            <w:vAlign w:val="center"/>
          </w:tcPr>
          <w:p w14:paraId="246864F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1,40</w:t>
            </w:r>
          </w:p>
        </w:tc>
        <w:tc>
          <w:tcPr>
            <w:tcW w:w="1134" w:type="dxa"/>
            <w:tcBorders>
              <w:top w:val="nil"/>
              <w:left w:val="nil"/>
              <w:bottom w:val="single" w:sz="8" w:space="0" w:color="auto"/>
              <w:right w:val="single" w:sz="4" w:space="0" w:color="auto"/>
            </w:tcBorders>
            <w:shd w:val="clear" w:color="auto" w:fill="auto"/>
            <w:noWrap/>
            <w:vAlign w:val="center"/>
          </w:tcPr>
          <w:p w14:paraId="53F642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0,2360</w:t>
            </w:r>
          </w:p>
        </w:tc>
        <w:tc>
          <w:tcPr>
            <w:tcW w:w="988" w:type="dxa"/>
            <w:tcBorders>
              <w:top w:val="nil"/>
              <w:left w:val="nil"/>
              <w:bottom w:val="single" w:sz="8" w:space="0" w:color="auto"/>
              <w:right w:val="nil"/>
            </w:tcBorders>
            <w:shd w:val="clear" w:color="auto" w:fill="auto"/>
            <w:noWrap/>
            <w:vAlign w:val="center"/>
          </w:tcPr>
          <w:p w14:paraId="2956A30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0,67</w:t>
            </w:r>
          </w:p>
        </w:tc>
        <w:tc>
          <w:tcPr>
            <w:tcW w:w="1134" w:type="dxa"/>
            <w:tcBorders>
              <w:top w:val="nil"/>
              <w:left w:val="nil"/>
              <w:bottom w:val="single" w:sz="8" w:space="0" w:color="auto"/>
              <w:right w:val="nil"/>
            </w:tcBorders>
            <w:shd w:val="clear" w:color="auto" w:fill="auto"/>
            <w:noWrap/>
            <w:vAlign w:val="center"/>
          </w:tcPr>
          <w:p w14:paraId="7BB8163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0,4134</w:t>
            </w:r>
          </w:p>
        </w:tc>
      </w:tr>
    </w:tbl>
    <w:p w14:paraId="24FF48F6" w14:textId="77777777" w:rsidR="001105BD" w:rsidRPr="000A0093" w:rsidRDefault="001105BD" w:rsidP="00FC2664">
      <w:pPr>
        <w:spacing w:line="480" w:lineRule="auto"/>
        <w:rPr>
          <w:sz w:val="20"/>
          <w:szCs w:val="20"/>
        </w:rPr>
      </w:pPr>
      <w:r w:rsidRPr="000A0093">
        <w:rPr>
          <w:sz w:val="20"/>
          <w:szCs w:val="20"/>
        </w:rPr>
        <w:t xml:space="preserve">Fonte: elaboração própria a partir de resultados obtidos no </w:t>
      </w:r>
      <w:proofErr w:type="spellStart"/>
      <w:r w:rsidRPr="000A0093">
        <w:rPr>
          <w:sz w:val="20"/>
          <w:szCs w:val="20"/>
        </w:rPr>
        <w:t>Stata</w:t>
      </w:r>
      <w:proofErr w:type="spellEnd"/>
      <w:r w:rsidRPr="000A0093">
        <w:rPr>
          <w:sz w:val="20"/>
          <w:szCs w:val="20"/>
        </w:rPr>
        <w:t xml:space="preserve"> 12.</w:t>
      </w:r>
    </w:p>
    <w:p w14:paraId="709ED623" w14:textId="77777777" w:rsidR="00330C3E" w:rsidRPr="00D4749A" w:rsidRDefault="00330C3E" w:rsidP="00FC2664">
      <w:pPr>
        <w:spacing w:line="480" w:lineRule="auto"/>
        <w:rPr>
          <w:b/>
        </w:rPr>
      </w:pPr>
    </w:p>
    <w:sectPr w:rsidR="00330C3E" w:rsidRPr="00D4749A" w:rsidSect="00755755">
      <w:footerReference w:type="default" r:id="rId27"/>
      <w:footerReference w:type="first" r:id="rId2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C18D" w14:textId="77777777" w:rsidR="00E6283B" w:rsidRDefault="00E6283B" w:rsidP="00367569">
      <w:pPr>
        <w:spacing w:line="240" w:lineRule="auto"/>
      </w:pPr>
      <w:r>
        <w:separator/>
      </w:r>
    </w:p>
  </w:endnote>
  <w:endnote w:type="continuationSeparator" w:id="0">
    <w:p w14:paraId="4D840CA4" w14:textId="77777777" w:rsidR="00E6283B" w:rsidRDefault="00E6283B" w:rsidP="00367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34710"/>
      <w:docPartObj>
        <w:docPartGallery w:val="Page Numbers (Bottom of Page)"/>
        <w:docPartUnique/>
      </w:docPartObj>
    </w:sdtPr>
    <w:sdtEndPr/>
    <w:sdtContent>
      <w:p w14:paraId="0DBC2F78" w14:textId="785BC362" w:rsidR="00E853C4" w:rsidRDefault="00E853C4">
        <w:pPr>
          <w:pStyle w:val="Rodap"/>
          <w:jc w:val="right"/>
        </w:pPr>
        <w:r>
          <w:fldChar w:fldCharType="begin"/>
        </w:r>
        <w:r>
          <w:instrText>PAGE   \* MERGEFORMAT</w:instrText>
        </w:r>
        <w:r>
          <w:fldChar w:fldCharType="separate"/>
        </w:r>
        <w:r w:rsidR="00B6103D">
          <w:rPr>
            <w:noProof/>
          </w:rPr>
          <w:t>2</w:t>
        </w:r>
        <w:r>
          <w:fldChar w:fldCharType="end"/>
        </w:r>
      </w:p>
    </w:sdtContent>
  </w:sdt>
  <w:p w14:paraId="0775B94F" w14:textId="77777777" w:rsidR="00E853C4" w:rsidRDefault="00E853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1729"/>
      <w:docPartObj>
        <w:docPartGallery w:val="Page Numbers (Bottom of Page)"/>
        <w:docPartUnique/>
      </w:docPartObj>
    </w:sdtPr>
    <w:sdtEndPr/>
    <w:sdtContent>
      <w:p w14:paraId="60D0D1CC" w14:textId="12F65DF3" w:rsidR="00E853C4" w:rsidRDefault="00E853C4">
        <w:pPr>
          <w:pStyle w:val="Rodap"/>
          <w:jc w:val="right"/>
        </w:pPr>
        <w:r>
          <w:fldChar w:fldCharType="begin"/>
        </w:r>
        <w:r>
          <w:instrText>PAGE   \* MERGEFORMAT</w:instrText>
        </w:r>
        <w:r>
          <w:fldChar w:fldCharType="separate"/>
        </w:r>
        <w:r w:rsidR="00B6103D">
          <w:rPr>
            <w:noProof/>
          </w:rPr>
          <w:t>1</w:t>
        </w:r>
        <w:r>
          <w:fldChar w:fldCharType="end"/>
        </w:r>
      </w:p>
    </w:sdtContent>
  </w:sdt>
  <w:p w14:paraId="460D6E3A" w14:textId="77777777" w:rsidR="00E853C4" w:rsidRDefault="00E853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7DAEB" w14:textId="77777777" w:rsidR="00E6283B" w:rsidRDefault="00E6283B" w:rsidP="00367569">
      <w:pPr>
        <w:spacing w:line="240" w:lineRule="auto"/>
      </w:pPr>
      <w:r>
        <w:separator/>
      </w:r>
    </w:p>
  </w:footnote>
  <w:footnote w:type="continuationSeparator" w:id="0">
    <w:p w14:paraId="5DAA3B0F" w14:textId="77777777" w:rsidR="00E6283B" w:rsidRDefault="00E6283B" w:rsidP="00367569">
      <w:pPr>
        <w:spacing w:line="240" w:lineRule="auto"/>
      </w:pPr>
      <w:r>
        <w:continuationSeparator/>
      </w:r>
    </w:p>
  </w:footnote>
  <w:footnote w:id="1">
    <w:p w14:paraId="7EDFC9EE" w14:textId="64E43C20" w:rsidR="00E853C4" w:rsidRPr="007B576A" w:rsidRDefault="00E853C4">
      <w:pPr>
        <w:pStyle w:val="Textodenotaderodap"/>
        <w:rPr>
          <w:bCs/>
        </w:rPr>
      </w:pPr>
      <w:r>
        <w:rPr>
          <w:rStyle w:val="Refdenotaderodap"/>
        </w:rPr>
        <w:footnoteRef/>
      </w:r>
      <w:r>
        <w:t xml:space="preserve"> </w:t>
      </w:r>
    </w:p>
  </w:footnote>
  <w:footnote w:id="2">
    <w:p w14:paraId="6A529EE1" w14:textId="1B68B779" w:rsidR="00E853C4" w:rsidRDefault="00E853C4">
      <w:pPr>
        <w:pStyle w:val="Textodenotaderodap"/>
      </w:pPr>
      <w:r>
        <w:rPr>
          <w:rStyle w:val="Refdenotaderodap"/>
        </w:rPr>
        <w:footnoteRef/>
      </w:r>
      <w:r>
        <w:t xml:space="preserve"> </w:t>
      </w:r>
    </w:p>
  </w:footnote>
  <w:footnote w:id="3">
    <w:p w14:paraId="2C7D320F" w14:textId="4E566F32" w:rsidR="00E853C4" w:rsidRDefault="00E853C4" w:rsidP="0020506B">
      <w:pPr>
        <w:pStyle w:val="Textodenotaderodap"/>
      </w:pPr>
      <w:r>
        <w:rPr>
          <w:rStyle w:val="Refdenotaderodap"/>
        </w:rPr>
        <w:footnoteRef/>
      </w:r>
      <w:r>
        <w:t xml:space="preserve"> </w:t>
      </w:r>
      <w:r w:rsidRPr="00603903">
        <w:t>Ne</w:t>
      </w:r>
      <w:r>
        <w:t>ste artigo</w:t>
      </w:r>
      <w:r w:rsidRPr="00603903">
        <w:t xml:space="preserve">, o termo países </w:t>
      </w:r>
      <w:r>
        <w:t>em desenvolvimento</w:t>
      </w:r>
      <w:r w:rsidRPr="00603903">
        <w:t xml:space="preserve"> </w:t>
      </w:r>
      <w:r>
        <w:t xml:space="preserve">engloba todos os países que ainda não atingiram o estágio de desenvolvimento. Neste sentido, </w:t>
      </w:r>
      <w:proofErr w:type="gramStart"/>
      <w:r>
        <w:t>inclui-se</w:t>
      </w:r>
      <w:proofErr w:type="gramEnd"/>
      <w:r>
        <w:t xml:space="preserve"> os países emergentes, os quais seriam </w:t>
      </w:r>
      <w:r w:rsidRPr="00603903">
        <w:t xml:space="preserve">os países em desenvolvimento que se inseriram na globalização financeira, tal como empregado por Prates (2002). Destarte, os países emergentes formam um subgrupo do grupo países em desenvolvimento. </w:t>
      </w:r>
      <w:r>
        <w:t>O</w:t>
      </w:r>
      <w:r w:rsidRPr="00603903">
        <w:t xml:space="preserve"> F</w:t>
      </w:r>
      <w:r>
        <w:t>undo Monetário Internacional (F</w:t>
      </w:r>
      <w:r w:rsidRPr="00603903">
        <w:t>MI</w:t>
      </w:r>
      <w:r>
        <w:t>)</w:t>
      </w:r>
      <w:r w:rsidRPr="00603903">
        <w:t xml:space="preserve"> considera os países emergentes e os países em desenvolvimento como dois grupos distintos. O primeiro grupo refere-se aos países que atingiram um nível de desenvolvimento intermediário e que estão em vias de se tornarem países desenvolvidos. Já no segundo grupo estão os países ainda nos estágios iniciais de desenvolvimento. Esta classificação do FMI é especialmente importante porque são utilizadas diversas estatísticas fornecidas por esta instituição. Todavia, é importante estar claro que nessas estatísticas os dados referem-se à soma dos dois grupos (países emergentes e em desenvolvimento), que coincide com conceito de países em desenvolvimento empregado </w:t>
      </w:r>
      <w:r>
        <w:t>neste artigo</w:t>
      </w:r>
      <w:r w:rsidRPr="00603903">
        <w:t xml:space="preserve">. </w:t>
      </w:r>
    </w:p>
  </w:footnote>
  <w:footnote w:id="4">
    <w:p w14:paraId="044CC70C" w14:textId="77777777" w:rsidR="00E853C4" w:rsidRDefault="00E853C4" w:rsidP="00F611A5">
      <w:pPr>
        <w:pStyle w:val="Textodenotaderodap"/>
      </w:pPr>
      <w:r>
        <w:rPr>
          <w:rStyle w:val="Refdenotaderodap"/>
        </w:rPr>
        <w:footnoteRef/>
      </w:r>
      <w:r>
        <w:t xml:space="preserve"> </w:t>
      </w:r>
      <w:r w:rsidRPr="006D44D5">
        <w:t xml:space="preserve">O conceito de globalização financeira adotado nesta tese é o mesmo empregado por Prates (2002, p. 69), </w:t>
      </w:r>
      <w:r>
        <w:t xml:space="preserve">que se baseia em </w:t>
      </w:r>
      <w:proofErr w:type="spellStart"/>
      <w:r>
        <w:t>Chesnais</w:t>
      </w:r>
      <w:proofErr w:type="spellEnd"/>
      <w:r>
        <w:t xml:space="preserve"> (1996), qual seja</w:t>
      </w:r>
      <w:r w:rsidRPr="006D44D5">
        <w:t>: “A globalização financeira refere-se à eliminação das barreiras internas entre os diferentes segmentos dos mercados financeiros, somada à interpenetração dos mercados monetários e financeiros nacionais e sua integração aos mercados globalizados”.</w:t>
      </w:r>
    </w:p>
  </w:footnote>
  <w:footnote w:id="5">
    <w:p w14:paraId="2EC75F92" w14:textId="7A446F75" w:rsidR="00E853C4" w:rsidRPr="007C00F6" w:rsidRDefault="00E853C4">
      <w:pPr>
        <w:pStyle w:val="Textodenotaderodap"/>
      </w:pPr>
      <w:r>
        <w:rPr>
          <w:rStyle w:val="Refdenotaderodap"/>
        </w:rPr>
        <w:footnoteRef/>
      </w:r>
      <w:r w:rsidRPr="007C00F6">
        <w:t xml:space="preserve"> No </w:t>
      </w:r>
      <w:proofErr w:type="spellStart"/>
      <w:r w:rsidRPr="007C00F6">
        <w:rPr>
          <w:i/>
        </w:rPr>
        <w:t>mainstream</w:t>
      </w:r>
      <w:proofErr w:type="spellEnd"/>
      <w:r w:rsidRPr="007C00F6">
        <w:t xml:space="preserve"> da economia, incerteza é sin</w:t>
      </w:r>
      <w:r>
        <w:t xml:space="preserve">ônimo de risco probabilístico. Para maiores detalhes entre distinções de risco probabilístico e incerteza </w:t>
      </w:r>
      <w:proofErr w:type="gramStart"/>
      <w:r>
        <w:t>ver</w:t>
      </w:r>
      <w:proofErr w:type="gramEnd"/>
      <w:r>
        <w:t xml:space="preserve"> </w:t>
      </w:r>
      <w:proofErr w:type="spellStart"/>
      <w:r>
        <w:t>Dequech</w:t>
      </w:r>
      <w:proofErr w:type="spellEnd"/>
      <w:r>
        <w:t xml:space="preserve"> (2000). </w:t>
      </w:r>
    </w:p>
  </w:footnote>
  <w:footnote w:id="6">
    <w:p w14:paraId="7EA5FB78" w14:textId="2E74C5C1" w:rsidR="00E853C4" w:rsidRDefault="00E853C4" w:rsidP="00561E18">
      <w:pPr>
        <w:pStyle w:val="Textodenotaderodap"/>
      </w:pPr>
      <w:r>
        <w:rPr>
          <w:rStyle w:val="Refdenotaderodap"/>
        </w:rPr>
        <w:footnoteRef/>
      </w:r>
      <w:r w:rsidRPr="00D4749A">
        <w:rPr>
          <w:lang w:val="en-GB"/>
        </w:rPr>
        <w:t xml:space="preserve"> Keynes (1937a, </w:t>
      </w:r>
      <w:proofErr w:type="spellStart"/>
      <w:r w:rsidRPr="00D4749A">
        <w:rPr>
          <w:lang w:val="en-GB"/>
        </w:rPr>
        <w:t>p.s</w:t>
      </w:r>
      <w:proofErr w:type="spellEnd"/>
      <w:r w:rsidRPr="00D4749A">
        <w:rPr>
          <w:lang w:val="en-GB"/>
        </w:rPr>
        <w:t xml:space="preserve"> 113-114) define </w:t>
      </w:r>
      <w:proofErr w:type="spellStart"/>
      <w:r w:rsidRPr="00D4749A">
        <w:rPr>
          <w:lang w:val="en-GB"/>
        </w:rPr>
        <w:t>precisamente</w:t>
      </w:r>
      <w:proofErr w:type="spellEnd"/>
      <w:r w:rsidRPr="00D4749A">
        <w:rPr>
          <w:lang w:val="en-GB"/>
        </w:rPr>
        <w:t xml:space="preserve"> o </w:t>
      </w:r>
      <w:proofErr w:type="spellStart"/>
      <w:r w:rsidRPr="00D4749A">
        <w:rPr>
          <w:lang w:val="en-GB"/>
        </w:rPr>
        <w:t>que</w:t>
      </w:r>
      <w:proofErr w:type="spellEnd"/>
      <w:r w:rsidRPr="00D4749A">
        <w:rPr>
          <w:lang w:val="en-GB"/>
        </w:rPr>
        <w:t xml:space="preserve"> </w:t>
      </w:r>
      <w:proofErr w:type="spellStart"/>
      <w:r w:rsidRPr="00D4749A">
        <w:rPr>
          <w:lang w:val="en-GB"/>
        </w:rPr>
        <w:t>entende</w:t>
      </w:r>
      <w:proofErr w:type="spellEnd"/>
      <w:r w:rsidRPr="00D4749A">
        <w:rPr>
          <w:lang w:val="en-GB"/>
        </w:rPr>
        <w:t xml:space="preserve"> </w:t>
      </w:r>
      <w:proofErr w:type="spellStart"/>
      <w:proofErr w:type="gramStart"/>
      <w:r w:rsidRPr="00D4749A">
        <w:rPr>
          <w:lang w:val="en-GB"/>
        </w:rPr>
        <w:t>como</w:t>
      </w:r>
      <w:proofErr w:type="spellEnd"/>
      <w:proofErr w:type="gramEnd"/>
      <w:r w:rsidRPr="00D4749A">
        <w:rPr>
          <w:lang w:val="en-GB"/>
        </w:rPr>
        <w:t xml:space="preserve"> </w:t>
      </w:r>
      <w:proofErr w:type="spellStart"/>
      <w:r w:rsidRPr="00D4749A">
        <w:rPr>
          <w:lang w:val="en-GB"/>
        </w:rPr>
        <w:t>incerteza</w:t>
      </w:r>
      <w:proofErr w:type="spellEnd"/>
      <w:r w:rsidRPr="00D4749A">
        <w:rPr>
          <w:lang w:val="en-GB"/>
        </w:rPr>
        <w:t xml:space="preserve">: “By ‘uncertain’ knowledge, let me explain, I do not mean merely to distinguish what is known for certain from what is only probable. (...) The sense in which I am using the term is that in which the prospect of </w:t>
      </w:r>
      <w:proofErr w:type="gramStart"/>
      <w:r w:rsidRPr="00D4749A">
        <w:rPr>
          <w:lang w:val="en-GB"/>
        </w:rPr>
        <w:t>an</w:t>
      </w:r>
      <w:proofErr w:type="gramEnd"/>
      <w:r w:rsidRPr="00D4749A">
        <w:rPr>
          <w:lang w:val="en-GB"/>
        </w:rPr>
        <w:t xml:space="preserve"> European war is uncertain, or the price of copper and the rate of interest twenty years hence, or the obsolescence of a new invention, or the position of private wealth-owners in the social system in 1970. About these matters there is no scientific basis on which to form any calculable probability whatever. </w:t>
      </w:r>
      <w:proofErr w:type="spellStart"/>
      <w:proofErr w:type="gramStart"/>
      <w:r>
        <w:t>We</w:t>
      </w:r>
      <w:proofErr w:type="spellEnd"/>
      <w:r>
        <w:t xml:space="preserve"> </w:t>
      </w:r>
      <w:proofErr w:type="spellStart"/>
      <w:r>
        <w:t>simply</w:t>
      </w:r>
      <w:proofErr w:type="spellEnd"/>
      <w:r>
        <w:t xml:space="preserve"> do </w:t>
      </w:r>
      <w:proofErr w:type="spellStart"/>
      <w:r>
        <w:t>not</w:t>
      </w:r>
      <w:proofErr w:type="spellEnd"/>
      <w:r>
        <w:t xml:space="preserve"> </w:t>
      </w:r>
      <w:proofErr w:type="spellStart"/>
      <w:r>
        <w:t>know</w:t>
      </w:r>
      <w:proofErr w:type="spellEnd"/>
      <w:r>
        <w:t>”</w:t>
      </w:r>
      <w:proofErr w:type="gramEnd"/>
    </w:p>
  </w:footnote>
  <w:footnote w:id="7">
    <w:p w14:paraId="40AD33B6" w14:textId="77777777" w:rsidR="00E853C4" w:rsidRDefault="00E853C4">
      <w:pPr>
        <w:pStyle w:val="Textodenotaderodap"/>
      </w:pPr>
      <w:r>
        <w:rPr>
          <w:rStyle w:val="Refdenotaderodap"/>
        </w:rPr>
        <w:footnoteRef/>
      </w:r>
      <w:r>
        <w:t xml:space="preserve"> </w:t>
      </w:r>
      <w:r w:rsidRPr="00367569">
        <w:rPr>
          <w:bCs/>
        </w:rPr>
        <w:t xml:space="preserve">Dada a indisponibilidade de dados para todos os países durante o período em questão, utilizou-se como </w:t>
      </w:r>
      <w:proofErr w:type="gramStart"/>
      <w:r w:rsidRPr="008153FB">
        <w:rPr>
          <w:bCs/>
          <w:i/>
        </w:rPr>
        <w:t>proxy</w:t>
      </w:r>
      <w:proofErr w:type="gramEnd"/>
      <w:r w:rsidRPr="00367569">
        <w:rPr>
          <w:bCs/>
        </w:rPr>
        <w:t xml:space="preserve"> dos fluxos financeiros a variação da taxa real de câmbio e das reservas internacionais, que segundo os autores estariam diretamente relacionados.</w:t>
      </w:r>
    </w:p>
  </w:footnote>
  <w:footnote w:id="8">
    <w:p w14:paraId="4FA5B68A" w14:textId="77777777" w:rsidR="00E853C4" w:rsidRPr="00156834" w:rsidRDefault="00E853C4" w:rsidP="00367569">
      <w:pPr>
        <w:pStyle w:val="Textodenotaderodap"/>
        <w:rPr>
          <w:bCs/>
        </w:rPr>
      </w:pPr>
      <w:r w:rsidRPr="00186A22">
        <w:rPr>
          <w:rStyle w:val="Refdenotaderodap"/>
        </w:rPr>
        <w:footnoteRef/>
      </w:r>
      <w:r w:rsidRPr="00186A22">
        <w:t xml:space="preserve"> O </w:t>
      </w:r>
      <w:r w:rsidRPr="00475CCA">
        <w:rPr>
          <w:bCs/>
          <w:i/>
        </w:rPr>
        <w:t xml:space="preserve">Chicago </w:t>
      </w:r>
      <w:proofErr w:type="spellStart"/>
      <w:r w:rsidRPr="00475CCA">
        <w:rPr>
          <w:bCs/>
          <w:i/>
        </w:rPr>
        <w:t>Board</w:t>
      </w:r>
      <w:proofErr w:type="spellEnd"/>
      <w:r w:rsidRPr="00475CCA">
        <w:rPr>
          <w:bCs/>
          <w:i/>
        </w:rPr>
        <w:t xml:space="preserve"> </w:t>
      </w:r>
      <w:proofErr w:type="spellStart"/>
      <w:r w:rsidRPr="00475CCA">
        <w:rPr>
          <w:bCs/>
          <w:i/>
        </w:rPr>
        <w:t>Options</w:t>
      </w:r>
      <w:proofErr w:type="spellEnd"/>
      <w:r w:rsidRPr="00475CCA">
        <w:rPr>
          <w:bCs/>
          <w:i/>
        </w:rPr>
        <w:t xml:space="preserve"> Exchange Market </w:t>
      </w:r>
      <w:proofErr w:type="spellStart"/>
      <w:r w:rsidRPr="00475CCA">
        <w:rPr>
          <w:bCs/>
          <w:i/>
        </w:rPr>
        <w:t>Volatility</w:t>
      </w:r>
      <w:proofErr w:type="spellEnd"/>
      <w:r w:rsidRPr="00475CCA">
        <w:rPr>
          <w:bCs/>
          <w:i/>
        </w:rPr>
        <w:t xml:space="preserve"> Index</w:t>
      </w:r>
      <w:r>
        <w:rPr>
          <w:bCs/>
        </w:rPr>
        <w:t xml:space="preserve"> (VIX) e as três taxas de juros dos EUA foram obtidas</w:t>
      </w:r>
      <w:r w:rsidRPr="00186A22">
        <w:rPr>
          <w:bCs/>
        </w:rPr>
        <w:t xml:space="preserve"> em dados </w:t>
      </w:r>
      <w:proofErr w:type="gramStart"/>
      <w:r w:rsidRPr="00186A22">
        <w:rPr>
          <w:bCs/>
        </w:rPr>
        <w:t>mensais e anualizado por meio de média simples dos períodos observados</w:t>
      </w:r>
      <w:proofErr w:type="gramEnd"/>
      <w:r w:rsidRPr="00186A22">
        <w:rPr>
          <w:bCs/>
        </w:rPr>
        <w:t xml:space="preserve">. </w:t>
      </w:r>
    </w:p>
  </w:footnote>
  <w:footnote w:id="9">
    <w:p w14:paraId="2358BBC7" w14:textId="77777777" w:rsidR="00E853C4" w:rsidRDefault="00E853C4" w:rsidP="00A52ED0">
      <w:pPr>
        <w:pStyle w:val="Textodenotaderodap"/>
      </w:pPr>
      <w:r>
        <w:rPr>
          <w:rStyle w:val="Refdenotaderodap"/>
        </w:rPr>
        <w:footnoteRef/>
      </w:r>
      <w:r>
        <w:t xml:space="preserve"> Adotou-se a seguinte técnica de normalização: subtração das variáveis pela média e divisão pelo desvio-padrão. </w:t>
      </w:r>
    </w:p>
  </w:footnote>
  <w:footnote w:id="10">
    <w:p w14:paraId="2D10DF21" w14:textId="3861B904" w:rsidR="00E853C4" w:rsidRDefault="00E853C4">
      <w:pPr>
        <w:pStyle w:val="Textodenotaderodap"/>
      </w:pPr>
      <w:r>
        <w:rPr>
          <w:rStyle w:val="Refdenotaderodap"/>
        </w:rPr>
        <w:footnoteRef/>
      </w:r>
      <w:r>
        <w:t xml:space="preserve"> Sobre os critérios utilizados nas agências de risco, ver </w:t>
      </w:r>
      <w:r w:rsidRPr="002F0C4F">
        <w:t xml:space="preserve">Canuto </w:t>
      </w:r>
      <w:r>
        <w:t xml:space="preserve">e Fonseca </w:t>
      </w:r>
      <w:r w:rsidRPr="002F0C4F">
        <w:t>(2003</w:t>
      </w:r>
      <w:r>
        <w:t>)</w:t>
      </w:r>
      <w:r w:rsidRPr="002F0C4F">
        <w:t xml:space="preserve"> e </w:t>
      </w:r>
      <w:r>
        <w:t>Canuto, Santos e Porto (</w:t>
      </w:r>
      <w:r w:rsidRPr="002F0C4F">
        <w:t>2004)</w:t>
      </w:r>
      <w:r>
        <w:t xml:space="preserve">. </w:t>
      </w:r>
    </w:p>
  </w:footnote>
  <w:footnote w:id="11">
    <w:p w14:paraId="72AA368D" w14:textId="77777777" w:rsidR="00E853C4" w:rsidRDefault="00E853C4" w:rsidP="004024E2">
      <w:pPr>
        <w:pStyle w:val="Textodenotaderodap"/>
      </w:pPr>
      <w:r>
        <w:rPr>
          <w:rStyle w:val="Refdenotaderodap"/>
        </w:rPr>
        <w:footnoteRef/>
      </w:r>
      <w:r>
        <w:t xml:space="preserve"> O AREAER é publicado anualmente pelo FMI e consiste na divulgação mais abrangente e completa sobre as práticas de gestão dos fluxos de capitais utilizadas pelos países. </w:t>
      </w:r>
    </w:p>
  </w:footnote>
  <w:footnote w:id="12">
    <w:p w14:paraId="14C91090" w14:textId="77777777" w:rsidR="00E853C4" w:rsidRDefault="00E853C4" w:rsidP="00CA7FA9">
      <w:pPr>
        <w:pStyle w:val="Textodenotaderodap"/>
      </w:pPr>
      <w:r>
        <w:rPr>
          <w:rStyle w:val="Refdenotaderodap"/>
        </w:rPr>
        <w:footnoteRef/>
      </w:r>
      <w:r>
        <w:t xml:space="preserve"> </w:t>
      </w:r>
      <w:r>
        <w:rPr>
          <w:bCs/>
        </w:rPr>
        <w:t>A técnica</w:t>
      </w:r>
      <w:r w:rsidRPr="00101BA8">
        <w:rPr>
          <w:bCs/>
        </w:rPr>
        <w:t xml:space="preserve"> de dados em painel</w:t>
      </w:r>
      <w:r>
        <w:rPr>
          <w:bCs/>
        </w:rPr>
        <w:t xml:space="preserve"> </w:t>
      </w:r>
      <w:r w:rsidRPr="00101BA8">
        <w:rPr>
          <w:bCs/>
        </w:rPr>
        <w:t xml:space="preserve">apresenta importantes vantagens, dentre as quais: i) Permite identificar efeitos que não seriam detectados isoladamente com dados em corte transversal ou séries temporais; </w:t>
      </w:r>
      <w:proofErr w:type="spellStart"/>
      <w:proofErr w:type="gramStart"/>
      <w:r w:rsidRPr="00101BA8">
        <w:rPr>
          <w:bCs/>
        </w:rPr>
        <w:t>ii</w:t>
      </w:r>
      <w:proofErr w:type="spellEnd"/>
      <w:proofErr w:type="gramEnd"/>
      <w:r w:rsidRPr="00101BA8">
        <w:rPr>
          <w:bCs/>
        </w:rPr>
        <w:t>)</w:t>
      </w:r>
      <w:r w:rsidRPr="00101BA8">
        <w:rPr>
          <w:b/>
          <w:bCs/>
        </w:rPr>
        <w:t xml:space="preserve"> </w:t>
      </w:r>
      <w:r w:rsidRPr="00101BA8">
        <w:rPr>
          <w:bCs/>
        </w:rPr>
        <w:t xml:space="preserve">maior número de graus de liberdade, pois ele é resultado do produto dos graus de liberdade das unidades de corte transversal e de serie temporal, o que é especialmente importante quando a fonte está apenas em dados anuais; e </w:t>
      </w:r>
      <w:proofErr w:type="spellStart"/>
      <w:r w:rsidRPr="00101BA8">
        <w:rPr>
          <w:bCs/>
        </w:rPr>
        <w:t>iii</w:t>
      </w:r>
      <w:proofErr w:type="spellEnd"/>
      <w:r w:rsidRPr="00101BA8">
        <w:rPr>
          <w:bCs/>
        </w:rPr>
        <w:t xml:space="preserve">) permite evitar vieses associados a fatores individuais e/ou  temporais não observáveis, o que em uma regressão normal seria diluído na média. </w:t>
      </w:r>
    </w:p>
  </w:footnote>
  <w:footnote w:id="13">
    <w:p w14:paraId="008D2C79" w14:textId="77777777" w:rsidR="00E853C4" w:rsidRDefault="00E853C4" w:rsidP="00CA7FA9">
      <w:pPr>
        <w:pStyle w:val="Textodenotaderodap"/>
      </w:pPr>
      <w:r>
        <w:rPr>
          <w:rStyle w:val="Refdenotaderodap"/>
        </w:rPr>
        <w:footnoteRef/>
      </w:r>
      <w:r>
        <w:t xml:space="preserve"> Os países utilizados são: </w:t>
      </w:r>
      <w:r w:rsidRPr="005B7433">
        <w:t>África do Sul</w:t>
      </w:r>
      <w:r>
        <w:t>,</w:t>
      </w:r>
      <w:r w:rsidRPr="005B7433">
        <w:t xml:space="preserve"> </w:t>
      </w:r>
      <w:r>
        <w:t xml:space="preserve">Argentina, Bolívia, </w:t>
      </w:r>
      <w:r w:rsidRPr="001E2AF8">
        <w:t>Botsuana</w:t>
      </w:r>
      <w:r>
        <w:t xml:space="preserve">, Brasil, Bulgária, Chile, China, Colômbia, </w:t>
      </w:r>
      <w:r w:rsidRPr="005B7433">
        <w:t>Coréia do Sul</w:t>
      </w:r>
      <w:r>
        <w:t xml:space="preserve">, </w:t>
      </w:r>
      <w:r w:rsidRPr="005B7433">
        <w:t>Costa do Marfim</w:t>
      </w:r>
      <w:r>
        <w:t>,</w:t>
      </w:r>
      <w:r w:rsidRPr="005B7433">
        <w:t xml:space="preserve"> </w:t>
      </w:r>
      <w:r>
        <w:t xml:space="preserve">Costa Rica, </w:t>
      </w:r>
      <w:r w:rsidRPr="005B7433">
        <w:t>Egito,</w:t>
      </w:r>
      <w:r>
        <w:t xml:space="preserve"> </w:t>
      </w:r>
      <w:r w:rsidRPr="005B7433">
        <w:t xml:space="preserve">El Salvador, </w:t>
      </w:r>
      <w:r>
        <w:t xml:space="preserve">Equador, </w:t>
      </w:r>
      <w:r w:rsidRPr="005B7433">
        <w:t>Eslovênia</w:t>
      </w:r>
      <w:r>
        <w:t xml:space="preserve">, </w:t>
      </w:r>
      <w:r w:rsidRPr="005B7433">
        <w:t xml:space="preserve">Filipinas, </w:t>
      </w:r>
      <w:r>
        <w:t>Hungria, Ilhas Maurício</w:t>
      </w:r>
      <w:r w:rsidRPr="005B7433">
        <w:t xml:space="preserve">, </w:t>
      </w:r>
      <w:r>
        <w:t xml:space="preserve">Índia, Indonésia, Jordânia, Kuwait, Malásia, </w:t>
      </w:r>
      <w:r w:rsidRPr="005B7433">
        <w:t>Marrocos,</w:t>
      </w:r>
      <w:r>
        <w:t xml:space="preserve"> México, Nigéria, Panamá, Paquistão, Paraguai, Peru, Polônia, Romênia, Rússia, Singapura, </w:t>
      </w:r>
      <w:r w:rsidRPr="005B7433">
        <w:t>República Tcheca</w:t>
      </w:r>
      <w:r>
        <w:t xml:space="preserve">, </w:t>
      </w:r>
      <w:r w:rsidRPr="005B7433">
        <w:t xml:space="preserve">Sri Lanka, </w:t>
      </w:r>
      <w:r>
        <w:t xml:space="preserve">Tailândia, Turquia, Ucrânia, Uruguai e Zâmbia. </w:t>
      </w:r>
    </w:p>
  </w:footnote>
  <w:footnote w:id="14">
    <w:p w14:paraId="42EFCE5C" w14:textId="77777777" w:rsidR="00E853C4" w:rsidRPr="00186A22" w:rsidRDefault="00E853C4" w:rsidP="00CA7FA9">
      <w:pPr>
        <w:pStyle w:val="Textodenotaderodap"/>
        <w:rPr>
          <w:bCs/>
        </w:rPr>
      </w:pPr>
      <w:r w:rsidRPr="00186A22">
        <w:rPr>
          <w:rStyle w:val="Refdenotaderodap"/>
        </w:rPr>
        <w:footnoteRef/>
      </w:r>
      <w:r w:rsidRPr="00186A22">
        <w:t xml:space="preserve"> </w:t>
      </w:r>
      <w:r w:rsidRPr="00186A22">
        <w:rPr>
          <w:bCs/>
        </w:rPr>
        <w:t>O corte para escolha dos países se deu quando não havia a disponibilidade de dados para pelo menos duas variáveis ou que fossem disponíveis em menos da metade do período.</w:t>
      </w:r>
      <w:r>
        <w:rPr>
          <w:bCs/>
        </w:rPr>
        <w:t xml:space="preserve"> </w:t>
      </w:r>
      <w:r w:rsidRPr="00A130ED">
        <w:rPr>
          <w:bCs/>
        </w:rPr>
        <w:t xml:space="preserve">A escolha do período inicial se deu com base no </w:t>
      </w:r>
      <w:r>
        <w:rPr>
          <w:bCs/>
        </w:rPr>
        <w:t xml:space="preserve">momento </w:t>
      </w:r>
      <w:r w:rsidRPr="00A130ED">
        <w:rPr>
          <w:bCs/>
        </w:rPr>
        <w:t xml:space="preserve">em que os países em desenvolvimento se reinseriram no processo de globalização financeira </w:t>
      </w:r>
      <w:r>
        <w:rPr>
          <w:bCs/>
        </w:rPr>
        <w:t>até a</w:t>
      </w:r>
      <w:r w:rsidRPr="00A130ED">
        <w:rPr>
          <w:bCs/>
        </w:rPr>
        <w:t xml:space="preserve"> ocorrê</w:t>
      </w:r>
      <w:r>
        <w:rPr>
          <w:bCs/>
        </w:rPr>
        <w:t xml:space="preserve">ncia da crise financeira global. </w:t>
      </w:r>
      <w:r w:rsidRPr="007B157B">
        <w:rPr>
          <w:bCs/>
        </w:rPr>
        <w:t>Há um limite na base dados disponibilizada pelo FMI no que se refere à escolha de dados dos balanços de pagamentos. Para dados posteriores a 2008, a série se inicia apenas em 2002.</w:t>
      </w:r>
    </w:p>
  </w:footnote>
  <w:footnote w:id="15">
    <w:p w14:paraId="04CC864E" w14:textId="77777777" w:rsidR="00E853C4" w:rsidRDefault="00E853C4" w:rsidP="00A52ED0">
      <w:pPr>
        <w:pStyle w:val="Textodenotaderodap"/>
      </w:pPr>
      <w:r>
        <w:rPr>
          <w:rStyle w:val="Refdenotaderodap"/>
        </w:rPr>
        <w:footnoteRef/>
      </w:r>
      <w:r w:rsidRPr="00367569">
        <w:rPr>
          <w:bCs/>
        </w:rPr>
        <w:t xml:space="preserve"> No evento de variáveis omitidas, algo provável de ocorrer em modelos econométricos, pode se expressar a relação entre y e x da seguinte forma: </w:t>
      </w:r>
      <w:r w:rsidRPr="00367569">
        <w:rPr>
          <w:bCs/>
          <w:i/>
          <w:iCs/>
        </w:rPr>
        <w:t xml:space="preserve">y </w:t>
      </w:r>
      <w:r w:rsidRPr="00367569">
        <w:rPr>
          <w:bCs/>
          <w:iCs/>
        </w:rPr>
        <w:t xml:space="preserve">= </w:t>
      </w:r>
      <w:proofErr w:type="spellStart"/>
      <w:r w:rsidRPr="00367569">
        <w:rPr>
          <w:bCs/>
          <w:iCs/>
        </w:rPr>
        <w:t>x</w:t>
      </w:r>
      <w:r w:rsidRPr="00367569">
        <w:rPr>
          <w:bCs/>
          <w:iCs/>
          <w:vertAlign w:val="subscript"/>
        </w:rPr>
        <w:t>t</w:t>
      </w:r>
      <w:proofErr w:type="spellEnd"/>
      <w:r w:rsidRPr="00367569">
        <w:rPr>
          <w:bCs/>
          <w:iCs/>
        </w:rPr>
        <w:t>β</w:t>
      </w:r>
      <w:r w:rsidRPr="00367569">
        <w:rPr>
          <w:b/>
          <w:bCs/>
          <w:iCs/>
        </w:rPr>
        <w:t xml:space="preserve"> </w:t>
      </w:r>
      <w:r w:rsidRPr="00367569">
        <w:rPr>
          <w:bCs/>
          <w:iCs/>
        </w:rPr>
        <w:t xml:space="preserve">+ </w:t>
      </w:r>
      <w:r w:rsidRPr="00367569">
        <w:rPr>
          <w:bCs/>
          <w:i/>
          <w:iCs/>
        </w:rPr>
        <w:t xml:space="preserve">c </w:t>
      </w:r>
      <w:r w:rsidRPr="00367569">
        <w:rPr>
          <w:bCs/>
          <w:iCs/>
        </w:rPr>
        <w:t xml:space="preserve">+ </w:t>
      </w:r>
      <w:r w:rsidRPr="00367569">
        <w:rPr>
          <w:bCs/>
          <w:i/>
          <w:iCs/>
        </w:rPr>
        <w:t>e</w:t>
      </w:r>
      <w:r w:rsidRPr="00367569">
        <w:rPr>
          <w:bCs/>
          <w:iCs/>
        </w:rPr>
        <w:t>.</w:t>
      </w:r>
      <w:r w:rsidRPr="00367569">
        <w:rPr>
          <w:bCs/>
        </w:rPr>
        <w:t xml:space="preserve"> Nesta equação, caso </w:t>
      </w:r>
      <w:r w:rsidRPr="00367569">
        <w:rPr>
          <w:bCs/>
          <w:i/>
        </w:rPr>
        <w:t>c</w:t>
      </w:r>
      <w:r w:rsidRPr="00367569">
        <w:rPr>
          <w:bCs/>
        </w:rPr>
        <w:t xml:space="preserve"> não esteja correlacionado com as variáveis independentes (x), então ele será apenas um dos fatores não observáveis que compõem o erro da regressão (</w:t>
      </w:r>
      <w:r w:rsidRPr="00367569">
        <w:rPr>
          <w:bCs/>
          <w:i/>
        </w:rPr>
        <w:t>e</w:t>
      </w:r>
      <w:r w:rsidRPr="00367569">
        <w:rPr>
          <w:bCs/>
        </w:rPr>
        <w:t xml:space="preserve">). Portanto, a utilização do modelo de MQO aplicado a painel seria válida. Neste caso, se manteria a equação </w:t>
      </w:r>
      <w:proofErr w:type="gramStart"/>
      <w:r>
        <w:rPr>
          <w:bCs/>
        </w:rPr>
        <w:t>1</w:t>
      </w:r>
      <w:proofErr w:type="gramEnd"/>
      <w:r w:rsidRPr="00367569">
        <w:rPr>
          <w:bCs/>
        </w:rPr>
        <w:t>.</w:t>
      </w:r>
    </w:p>
  </w:footnote>
  <w:footnote w:id="16">
    <w:p w14:paraId="71E1F418" w14:textId="44DE934A" w:rsidR="00E853C4" w:rsidRPr="00DB29F9" w:rsidRDefault="00E853C4" w:rsidP="00D306A6">
      <w:pPr>
        <w:spacing w:line="240" w:lineRule="auto"/>
        <w:rPr>
          <w:sz w:val="20"/>
          <w:szCs w:val="20"/>
        </w:rPr>
      </w:pPr>
      <w:r w:rsidRPr="00DB29F9">
        <w:rPr>
          <w:rStyle w:val="Refdenotaderodap"/>
          <w:sz w:val="20"/>
          <w:szCs w:val="20"/>
        </w:rPr>
        <w:footnoteRef/>
      </w:r>
      <w:r w:rsidRPr="00DB29F9">
        <w:rPr>
          <w:sz w:val="20"/>
          <w:szCs w:val="20"/>
        </w:rPr>
        <w:t xml:space="preserve"> Nos comentários da tabela 1 encontra-se o número de instrumentos com a utilização do comando </w:t>
      </w:r>
      <w:r w:rsidRPr="00DB29F9">
        <w:rPr>
          <w:i/>
          <w:sz w:val="20"/>
          <w:szCs w:val="20"/>
        </w:rPr>
        <w:t>colapse</w:t>
      </w:r>
      <w:r w:rsidRPr="00DB29F9">
        <w:rPr>
          <w:sz w:val="20"/>
          <w:szCs w:val="20"/>
        </w:rPr>
        <w:t>, que são 20. Sem a utilização des</w:t>
      </w:r>
      <w:r w:rsidR="000F3038" w:rsidRPr="00DB29F9">
        <w:rPr>
          <w:sz w:val="20"/>
          <w:szCs w:val="20"/>
        </w:rPr>
        <w:t>t</w:t>
      </w:r>
      <w:r w:rsidRPr="00DB29F9">
        <w:rPr>
          <w:sz w:val="20"/>
          <w:szCs w:val="20"/>
        </w:rPr>
        <w:t xml:space="preserve">e comando, há uma proliferação de instrumentos (240) que os torna </w:t>
      </w:r>
      <w:r w:rsidR="000F3038" w:rsidRPr="00DB29F9">
        <w:rPr>
          <w:sz w:val="20"/>
          <w:szCs w:val="20"/>
        </w:rPr>
        <w:t>numericamente</w:t>
      </w:r>
      <w:r w:rsidRPr="00DB29F9">
        <w:rPr>
          <w:sz w:val="20"/>
          <w:szCs w:val="20"/>
        </w:rPr>
        <w:t xml:space="preserve"> muito maior do que o total de variáveis </w:t>
      </w:r>
      <w:proofErr w:type="spellStart"/>
      <w:r w:rsidRPr="00DB29F9">
        <w:rPr>
          <w:sz w:val="20"/>
          <w:szCs w:val="20"/>
        </w:rPr>
        <w:t>cross-sections</w:t>
      </w:r>
      <w:proofErr w:type="spellEnd"/>
      <w:r w:rsidRPr="00DB29F9">
        <w:rPr>
          <w:sz w:val="20"/>
          <w:szCs w:val="20"/>
        </w:rPr>
        <w:t xml:space="preserve"> (4</w:t>
      </w:r>
      <w:r w:rsidR="000F3038" w:rsidRPr="00DB29F9">
        <w:rPr>
          <w:sz w:val="20"/>
          <w:szCs w:val="20"/>
        </w:rPr>
        <w:t>2). Ademais, todos os testes apontaram para inadequação dos</w:t>
      </w:r>
      <w:r w:rsidRPr="00DB29F9">
        <w:rPr>
          <w:sz w:val="20"/>
          <w:szCs w:val="20"/>
        </w:rPr>
        <w:t xml:space="preserve"> instrumentos</w:t>
      </w:r>
      <w:r w:rsidR="00D306A6" w:rsidRPr="00DB29F9">
        <w:rPr>
          <w:sz w:val="20"/>
          <w:szCs w:val="20"/>
        </w:rPr>
        <w:t xml:space="preserve"> (Teste Hansen excluindo grupo:</w:t>
      </w:r>
      <w:r w:rsidR="00DB29F9">
        <w:rPr>
          <w:sz w:val="20"/>
          <w:szCs w:val="20"/>
        </w:rPr>
        <w:t xml:space="preserve"> </w:t>
      </w:r>
      <w:r w:rsidR="00D306A6" w:rsidRPr="00DB29F9">
        <w:rPr>
          <w:sz w:val="20"/>
          <w:szCs w:val="20"/>
        </w:rPr>
        <w:t>qui</w:t>
      </w:r>
      <w:r w:rsidR="00D306A6" w:rsidRPr="00DB29F9">
        <w:rPr>
          <w:sz w:val="20"/>
          <w:szCs w:val="20"/>
          <w:vertAlign w:val="superscript"/>
        </w:rPr>
        <w:t>2</w:t>
      </w:r>
      <w:r w:rsidR="00D306A6" w:rsidRPr="00DB29F9">
        <w:rPr>
          <w:sz w:val="20"/>
          <w:szCs w:val="20"/>
        </w:rPr>
        <w:t xml:space="preserve"> (150</w:t>
      </w:r>
      <w:r w:rsidR="00DB29F9">
        <w:rPr>
          <w:sz w:val="20"/>
          <w:szCs w:val="20"/>
        </w:rPr>
        <w:t xml:space="preserve">) = </w:t>
      </w:r>
      <w:r w:rsidR="00D306A6" w:rsidRPr="00DB29F9">
        <w:rPr>
          <w:sz w:val="20"/>
          <w:szCs w:val="20"/>
        </w:rPr>
        <w:t>603,81</w:t>
      </w:r>
      <w:r w:rsidR="00DB29F9">
        <w:rPr>
          <w:sz w:val="20"/>
          <w:szCs w:val="20"/>
        </w:rPr>
        <w:t xml:space="preserve">, </w:t>
      </w:r>
      <w:proofErr w:type="spellStart"/>
      <w:r w:rsidR="00D306A6" w:rsidRPr="00DB29F9">
        <w:rPr>
          <w:sz w:val="20"/>
          <w:szCs w:val="20"/>
        </w:rPr>
        <w:t>Prob</w:t>
      </w:r>
      <w:proofErr w:type="spellEnd"/>
      <w:r w:rsidR="00D306A6" w:rsidRPr="00DB29F9">
        <w:rPr>
          <w:sz w:val="20"/>
          <w:szCs w:val="20"/>
        </w:rPr>
        <w:t xml:space="preserve"> &gt; qui</w:t>
      </w:r>
      <w:r w:rsidR="00D306A6" w:rsidRPr="00DB29F9">
        <w:rPr>
          <w:sz w:val="20"/>
          <w:szCs w:val="20"/>
          <w:vertAlign w:val="superscript"/>
        </w:rPr>
        <w:t>2</w:t>
      </w:r>
      <w:r w:rsidR="00DB29F9">
        <w:rPr>
          <w:sz w:val="20"/>
          <w:szCs w:val="20"/>
        </w:rPr>
        <w:t xml:space="preserve"> = </w:t>
      </w:r>
      <w:r w:rsidR="00D306A6" w:rsidRPr="00DB29F9">
        <w:rPr>
          <w:sz w:val="20"/>
          <w:szCs w:val="20"/>
        </w:rPr>
        <w:t>0,</w:t>
      </w:r>
      <w:r w:rsidR="00DB29F9" w:rsidRPr="00DB29F9">
        <w:rPr>
          <w:sz w:val="20"/>
          <w:szCs w:val="20"/>
        </w:rPr>
        <w:t>000</w:t>
      </w:r>
      <w:r w:rsidR="00D306A6" w:rsidRPr="00DB29F9">
        <w:rPr>
          <w:sz w:val="20"/>
          <w:szCs w:val="20"/>
        </w:rPr>
        <w:t>; Diferença (H</w:t>
      </w:r>
      <w:r w:rsidR="00D306A6" w:rsidRPr="00DB29F9">
        <w:rPr>
          <w:sz w:val="20"/>
          <w:szCs w:val="20"/>
          <w:vertAlign w:val="subscript"/>
        </w:rPr>
        <w:t>0</w:t>
      </w:r>
      <w:r w:rsidR="00DB29F9" w:rsidRPr="00DB29F9">
        <w:rPr>
          <w:sz w:val="20"/>
          <w:szCs w:val="20"/>
        </w:rPr>
        <w:t xml:space="preserve"> = exógenos):</w:t>
      </w:r>
      <w:r w:rsidR="00D306A6" w:rsidRPr="00DB29F9">
        <w:rPr>
          <w:sz w:val="20"/>
          <w:szCs w:val="20"/>
        </w:rPr>
        <w:t xml:space="preserve"> qui</w:t>
      </w:r>
      <w:r w:rsidR="00D306A6" w:rsidRPr="00DB29F9">
        <w:rPr>
          <w:sz w:val="20"/>
          <w:szCs w:val="20"/>
          <w:vertAlign w:val="superscript"/>
        </w:rPr>
        <w:t>2</w:t>
      </w:r>
      <w:r w:rsidR="00DB29F9" w:rsidRPr="00DB29F9">
        <w:rPr>
          <w:sz w:val="20"/>
          <w:szCs w:val="20"/>
        </w:rPr>
        <w:t xml:space="preserve"> (80) = 6986,14 </w:t>
      </w:r>
      <w:proofErr w:type="spellStart"/>
      <w:r w:rsidR="00D306A6" w:rsidRPr="00DB29F9">
        <w:rPr>
          <w:sz w:val="20"/>
          <w:szCs w:val="20"/>
        </w:rPr>
        <w:t>Prob</w:t>
      </w:r>
      <w:proofErr w:type="spellEnd"/>
      <w:r w:rsidR="00D306A6" w:rsidRPr="00DB29F9">
        <w:rPr>
          <w:sz w:val="20"/>
          <w:szCs w:val="20"/>
        </w:rPr>
        <w:t xml:space="preserve"> &gt; qui</w:t>
      </w:r>
      <w:r w:rsidR="00D306A6" w:rsidRPr="00DB29F9">
        <w:rPr>
          <w:sz w:val="20"/>
          <w:szCs w:val="20"/>
          <w:vertAlign w:val="superscript"/>
        </w:rPr>
        <w:t>2</w:t>
      </w:r>
      <w:r w:rsidR="00DB29F9" w:rsidRPr="00DB29F9">
        <w:rPr>
          <w:sz w:val="20"/>
          <w:szCs w:val="20"/>
        </w:rPr>
        <w:t xml:space="preserve"> = </w:t>
      </w:r>
      <w:r w:rsidR="00D306A6" w:rsidRPr="00DB29F9">
        <w:rPr>
          <w:sz w:val="20"/>
          <w:szCs w:val="20"/>
        </w:rPr>
        <w:t>0,</w:t>
      </w:r>
      <w:r w:rsidR="00DB29F9" w:rsidRPr="00DB29F9">
        <w:rPr>
          <w:sz w:val="20"/>
          <w:szCs w:val="20"/>
        </w:rPr>
        <w:t>000</w:t>
      </w:r>
      <w:r w:rsidR="00D306A6" w:rsidRPr="00DB29F9">
        <w:rPr>
          <w:sz w:val="20"/>
          <w:szCs w:val="20"/>
        </w:rPr>
        <w:t>)</w:t>
      </w:r>
      <w:r w:rsidRPr="00DB29F9">
        <w:rPr>
          <w:sz w:val="20"/>
          <w:szCs w:val="20"/>
        </w:rPr>
        <w:t xml:space="preserve">, ao contrário do que ocorre quando se utiliza o comando </w:t>
      </w:r>
      <w:r w:rsidRPr="00DB29F9">
        <w:rPr>
          <w:i/>
          <w:sz w:val="20"/>
          <w:szCs w:val="20"/>
        </w:rPr>
        <w:t>colapse</w:t>
      </w:r>
      <w:r w:rsidRPr="00DB29F9">
        <w:rPr>
          <w:sz w:val="20"/>
          <w:szCs w:val="20"/>
        </w:rPr>
        <w:t>, tal como será observado na seção 4.</w:t>
      </w:r>
    </w:p>
  </w:footnote>
  <w:footnote w:id="17">
    <w:p w14:paraId="354905F9" w14:textId="77777777" w:rsidR="00E853C4" w:rsidRDefault="00E853C4">
      <w:pPr>
        <w:pStyle w:val="Textodenotaderodap"/>
      </w:pPr>
      <w:r>
        <w:rPr>
          <w:rStyle w:val="Refdenotaderodap"/>
        </w:rPr>
        <w:footnoteRef/>
      </w:r>
      <w:r>
        <w:t xml:space="preserve"> Ver </w:t>
      </w:r>
      <w:proofErr w:type="spellStart"/>
      <w:r>
        <w:t>Roadman</w:t>
      </w:r>
      <w:proofErr w:type="spellEnd"/>
      <w:r>
        <w:t xml:space="preserve"> (2009b) sobre as especificações, recomendações e vantagens em se utilizar o comando </w:t>
      </w:r>
      <w:r w:rsidRPr="001B5B74">
        <w:rPr>
          <w:i/>
        </w:rPr>
        <w:t>xtabond2</w:t>
      </w:r>
      <w:r>
        <w:t xml:space="preserve"> para realizar regressões pelo método MMG-S.</w:t>
      </w:r>
    </w:p>
  </w:footnote>
  <w:footnote w:id="18">
    <w:p w14:paraId="4D76FEAB" w14:textId="77777777" w:rsidR="00E853C4" w:rsidRPr="00B218DA" w:rsidRDefault="00E853C4">
      <w:pPr>
        <w:pStyle w:val="Textodenotaderodap"/>
        <w:rPr>
          <w:i/>
        </w:rPr>
      </w:pPr>
      <w:r>
        <w:rPr>
          <w:rStyle w:val="Refdenotaderodap"/>
        </w:rPr>
        <w:footnoteRef/>
      </w:r>
      <w:r>
        <w:t xml:space="preserve"> Quando se utiliza os estimadores </w:t>
      </w:r>
      <w:proofErr w:type="spellStart"/>
      <w:r w:rsidRPr="00B218DA">
        <w:rPr>
          <w:i/>
        </w:rPr>
        <w:t>one-step</w:t>
      </w:r>
      <w:proofErr w:type="spellEnd"/>
      <w:r>
        <w:rPr>
          <w:i/>
        </w:rPr>
        <w:t xml:space="preserve">, </w:t>
      </w:r>
      <w:r>
        <w:t xml:space="preserve">a subopção </w:t>
      </w:r>
      <w:proofErr w:type="spellStart"/>
      <w:r>
        <w:t>robust</w:t>
      </w:r>
      <w:proofErr w:type="spellEnd"/>
      <w:r>
        <w:t xml:space="preserve"> tem o sentido de tornar os estimadores robustos à heterocedasticidade e homocedasticidade. </w:t>
      </w:r>
      <w:r>
        <w:rPr>
          <w:i/>
        </w:rPr>
        <w:t xml:space="preserve"> </w:t>
      </w:r>
    </w:p>
  </w:footnote>
  <w:footnote w:id="19">
    <w:p w14:paraId="5AA3C9B9" w14:textId="32A3A61A" w:rsidR="00E853C4" w:rsidRPr="006F2E37" w:rsidRDefault="00E853C4">
      <w:pPr>
        <w:pStyle w:val="Textodenotaderodap"/>
      </w:pPr>
      <w:r w:rsidRPr="006F2E37">
        <w:rPr>
          <w:rStyle w:val="Refdenotaderodap"/>
        </w:rPr>
        <w:footnoteRef/>
      </w:r>
      <w:r w:rsidRPr="006F2E37">
        <w:t xml:space="preserve"> Ver </w:t>
      </w:r>
      <w:proofErr w:type="spellStart"/>
      <w:r w:rsidRPr="006F2E37">
        <w:rPr>
          <w:rFonts w:eastAsia="Times New Roman"/>
          <w:lang w:eastAsia="pt-BR"/>
        </w:rPr>
        <w:t>Aizenman</w:t>
      </w:r>
      <w:proofErr w:type="spellEnd"/>
      <w:r w:rsidRPr="006F2E37">
        <w:rPr>
          <w:rFonts w:eastAsia="Times New Roman"/>
          <w:lang w:eastAsia="pt-BR"/>
        </w:rPr>
        <w:t xml:space="preserve"> (2006)</w:t>
      </w:r>
      <w:r w:rsidR="006F2E37" w:rsidRPr="006F2E37">
        <w:rPr>
          <w:rFonts w:eastAsia="Times New Roman"/>
          <w:lang w:eastAsia="pt-BR"/>
        </w:rPr>
        <w:t xml:space="preserve"> e </w:t>
      </w:r>
      <w:proofErr w:type="spellStart"/>
      <w:r w:rsidR="006F2E37" w:rsidRPr="006F2E37">
        <w:rPr>
          <w:rFonts w:eastAsiaTheme="minorEastAsia"/>
          <w:bCs/>
          <w:lang w:eastAsia="pt-BR"/>
        </w:rPr>
        <w:t>Aizenman</w:t>
      </w:r>
      <w:proofErr w:type="spellEnd"/>
      <w:r w:rsidR="006F2E37" w:rsidRPr="006F2E37">
        <w:rPr>
          <w:rFonts w:eastAsiaTheme="minorEastAsia"/>
          <w:bCs/>
          <w:lang w:eastAsia="pt-BR"/>
        </w:rPr>
        <w:t xml:space="preserve"> e </w:t>
      </w:r>
      <w:proofErr w:type="spellStart"/>
      <w:r w:rsidR="006F2E37" w:rsidRPr="006F2E37">
        <w:rPr>
          <w:rFonts w:eastAsiaTheme="minorEastAsia"/>
          <w:bCs/>
          <w:lang w:eastAsia="pt-BR"/>
        </w:rPr>
        <w:t>Glick</w:t>
      </w:r>
      <w:proofErr w:type="spellEnd"/>
      <w:r w:rsidR="006F2E37" w:rsidRPr="006F2E37">
        <w:rPr>
          <w:rFonts w:eastAsiaTheme="minorEastAsia"/>
          <w:bCs/>
          <w:lang w:eastAsia="pt-BR"/>
        </w:rPr>
        <w:t xml:space="preserve"> (2010)</w:t>
      </w:r>
      <w:r w:rsidRPr="006F2E37">
        <w:rPr>
          <w:rFonts w:eastAsia="Times New Roman"/>
          <w:lang w:eastAsia="pt-BR"/>
        </w:rPr>
        <w:t xml:space="preserve">. </w:t>
      </w:r>
    </w:p>
  </w:footnote>
  <w:footnote w:id="20">
    <w:p w14:paraId="28D8CE8E" w14:textId="00FD0C02" w:rsidR="00E853C4" w:rsidRDefault="00E853C4">
      <w:pPr>
        <w:pStyle w:val="Textodenotaderodap"/>
      </w:pPr>
      <w:r>
        <w:rPr>
          <w:rStyle w:val="Refdenotaderodap"/>
        </w:rPr>
        <w:footnoteRef/>
      </w:r>
      <w:r>
        <w:t xml:space="preserve"> Foram incluídos nos testes de exogeneidade estrita variáveis que foram realizadas simulações</w:t>
      </w:r>
      <w:proofErr w:type="gramStart"/>
      <w:r>
        <w:t xml:space="preserve"> mas</w:t>
      </w:r>
      <w:proofErr w:type="gramEnd"/>
      <w:r>
        <w:t xml:space="preserve"> que não foram incluídas na equação definitiva.</w:t>
      </w:r>
    </w:p>
  </w:footnote>
  <w:footnote w:id="21">
    <w:p w14:paraId="6914BE76" w14:textId="4FF356E8" w:rsidR="00E853C4" w:rsidRPr="00D22C47" w:rsidRDefault="00E853C4">
      <w:pPr>
        <w:pStyle w:val="Textodenotaderodap"/>
      </w:pPr>
      <w:r>
        <w:rPr>
          <w:rStyle w:val="Refdenotaderodap"/>
        </w:rPr>
        <w:footnoteRef/>
      </w:r>
      <w:r>
        <w:t xml:space="preserve"> O leitor atento poderia indagar por que não utilizar o modelo RE no lugar do MMG-S, já que os testes indicaram consistência na utilização do primeiro modelo. O motivo se deve principalmente pelo critério de parcimônia na decisão de qual modelo utilizar. Enquanto no modelo </w:t>
      </w:r>
      <w:proofErr w:type="gramStart"/>
      <w:r>
        <w:t>RE precisam</w:t>
      </w:r>
      <w:proofErr w:type="gramEnd"/>
      <w:r>
        <w:t xml:space="preserve"> ser realizados testes para verificação de que a suposição de exogeneidade não está sendo violada, no modelo MMG-S, essa suposição pode ser relaxada. Ademais, o modelo MMG-S </w:t>
      </w:r>
      <w:proofErr w:type="spellStart"/>
      <w:r w:rsidRPr="00D22C47">
        <w:rPr>
          <w:i/>
        </w:rPr>
        <w:t>two</w:t>
      </w:r>
      <w:proofErr w:type="spellEnd"/>
      <w:r w:rsidRPr="00D22C47">
        <w:rPr>
          <w:i/>
        </w:rPr>
        <w:t xml:space="preserve"> </w:t>
      </w:r>
      <w:proofErr w:type="spellStart"/>
      <w:r w:rsidRPr="00D22C47">
        <w:rPr>
          <w:i/>
        </w:rPr>
        <w:t>step</w:t>
      </w:r>
      <w:proofErr w:type="spellEnd"/>
      <w:r>
        <w:t xml:space="preserve">, é por definição, robusto e eficiente à heterocedasticidade e autocorrelação.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2ED"/>
    <w:multiLevelType w:val="multilevel"/>
    <w:tmpl w:val="CA88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93DBD"/>
    <w:multiLevelType w:val="hybridMultilevel"/>
    <w:tmpl w:val="42703D8C"/>
    <w:lvl w:ilvl="0" w:tplc="161471AC">
      <w:start w:val="1"/>
      <w:numFmt w:val="decimal"/>
      <w:lvlText w:val="(%1)"/>
      <w:lvlJc w:val="left"/>
      <w:pPr>
        <w:ind w:left="735" w:hanging="375"/>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353C9"/>
    <w:multiLevelType w:val="multilevel"/>
    <w:tmpl w:val="22CA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215D7"/>
    <w:multiLevelType w:val="hybridMultilevel"/>
    <w:tmpl w:val="FAA4F8C4"/>
    <w:lvl w:ilvl="0" w:tplc="993AEA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323FBE"/>
    <w:multiLevelType w:val="hybridMultilevel"/>
    <w:tmpl w:val="A3D46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BE71ED"/>
    <w:multiLevelType w:val="hybridMultilevel"/>
    <w:tmpl w:val="FCFE5986"/>
    <w:lvl w:ilvl="0" w:tplc="1EEA630A">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41912018"/>
    <w:multiLevelType w:val="multilevel"/>
    <w:tmpl w:val="F2E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63B0D"/>
    <w:multiLevelType w:val="hybridMultilevel"/>
    <w:tmpl w:val="23747138"/>
    <w:lvl w:ilvl="0" w:tplc="7350467A">
      <w:start w:val="1"/>
      <w:numFmt w:val="lowerRoman"/>
      <w:lvlText w:val="%1."/>
      <w:lvlJc w:val="left"/>
      <w:pPr>
        <w:ind w:left="720" w:hanging="360"/>
      </w:pPr>
      <w:rPr>
        <w:rFonts w:hint="default"/>
      </w:rPr>
    </w:lvl>
    <w:lvl w:ilvl="1" w:tplc="7350467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63428B"/>
    <w:multiLevelType w:val="multilevel"/>
    <w:tmpl w:val="303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B1114"/>
    <w:multiLevelType w:val="hybridMultilevel"/>
    <w:tmpl w:val="7D943566"/>
    <w:lvl w:ilvl="0" w:tplc="AFBC662E">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682814A6"/>
    <w:multiLevelType w:val="multilevel"/>
    <w:tmpl w:val="9BF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A6DB9"/>
    <w:multiLevelType w:val="multilevel"/>
    <w:tmpl w:val="227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12D8D"/>
    <w:multiLevelType w:val="hybridMultilevel"/>
    <w:tmpl w:val="5D8880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F47D36"/>
    <w:multiLevelType w:val="multilevel"/>
    <w:tmpl w:val="CE5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10CBD"/>
    <w:multiLevelType w:val="hybridMultilevel"/>
    <w:tmpl w:val="FB441E58"/>
    <w:lvl w:ilvl="0" w:tplc="6720A01C">
      <w:start w:val="1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DE91808"/>
    <w:multiLevelType w:val="hybridMultilevel"/>
    <w:tmpl w:val="53EA96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15"/>
  </w:num>
  <w:num w:numId="5">
    <w:abstractNumId w:val="14"/>
  </w:num>
  <w:num w:numId="6">
    <w:abstractNumId w:val="2"/>
  </w:num>
  <w:num w:numId="7">
    <w:abstractNumId w:val="11"/>
  </w:num>
  <w:num w:numId="8">
    <w:abstractNumId w:val="6"/>
  </w:num>
  <w:num w:numId="9">
    <w:abstractNumId w:val="10"/>
  </w:num>
  <w:num w:numId="10">
    <w:abstractNumId w:val="8"/>
  </w:num>
  <w:num w:numId="11">
    <w:abstractNumId w:val="13"/>
  </w:num>
  <w:num w:numId="12">
    <w:abstractNumId w:val="0"/>
  </w:num>
  <w:num w:numId="13">
    <w:abstractNumId w:val="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9"/>
    <w:rsid w:val="0000332D"/>
    <w:rsid w:val="00004E01"/>
    <w:rsid w:val="00006FB9"/>
    <w:rsid w:val="00010A60"/>
    <w:rsid w:val="00017A76"/>
    <w:rsid w:val="000207B5"/>
    <w:rsid w:val="00020AA3"/>
    <w:rsid w:val="00021114"/>
    <w:rsid w:val="00024971"/>
    <w:rsid w:val="00027648"/>
    <w:rsid w:val="00027B1D"/>
    <w:rsid w:val="00027E4D"/>
    <w:rsid w:val="0003278F"/>
    <w:rsid w:val="00032857"/>
    <w:rsid w:val="000329BC"/>
    <w:rsid w:val="000373FB"/>
    <w:rsid w:val="000415A1"/>
    <w:rsid w:val="00043550"/>
    <w:rsid w:val="0004428D"/>
    <w:rsid w:val="000472E2"/>
    <w:rsid w:val="0004787B"/>
    <w:rsid w:val="00054809"/>
    <w:rsid w:val="00056CA5"/>
    <w:rsid w:val="0006776C"/>
    <w:rsid w:val="00074B4C"/>
    <w:rsid w:val="00077175"/>
    <w:rsid w:val="00082379"/>
    <w:rsid w:val="0008239D"/>
    <w:rsid w:val="00085315"/>
    <w:rsid w:val="00086DEC"/>
    <w:rsid w:val="000958CA"/>
    <w:rsid w:val="00096C6E"/>
    <w:rsid w:val="000A0093"/>
    <w:rsid w:val="000A2B0D"/>
    <w:rsid w:val="000A3C3A"/>
    <w:rsid w:val="000B20E0"/>
    <w:rsid w:val="000B7631"/>
    <w:rsid w:val="000B7AA4"/>
    <w:rsid w:val="000C1485"/>
    <w:rsid w:val="000C26C1"/>
    <w:rsid w:val="000C4D27"/>
    <w:rsid w:val="000C5A65"/>
    <w:rsid w:val="000C5DB6"/>
    <w:rsid w:val="000D2443"/>
    <w:rsid w:val="000D3026"/>
    <w:rsid w:val="000D3867"/>
    <w:rsid w:val="000E20D9"/>
    <w:rsid w:val="000F3038"/>
    <w:rsid w:val="000F446F"/>
    <w:rsid w:val="000F5B3C"/>
    <w:rsid w:val="00100A2C"/>
    <w:rsid w:val="00101BA8"/>
    <w:rsid w:val="001105BD"/>
    <w:rsid w:val="001137B7"/>
    <w:rsid w:val="001155F4"/>
    <w:rsid w:val="00122478"/>
    <w:rsid w:val="00125D7B"/>
    <w:rsid w:val="00134186"/>
    <w:rsid w:val="00134760"/>
    <w:rsid w:val="001358B7"/>
    <w:rsid w:val="00136AF6"/>
    <w:rsid w:val="00140A86"/>
    <w:rsid w:val="00144477"/>
    <w:rsid w:val="00145DF0"/>
    <w:rsid w:val="001463E0"/>
    <w:rsid w:val="00147E73"/>
    <w:rsid w:val="001512B0"/>
    <w:rsid w:val="00156834"/>
    <w:rsid w:val="00160E0E"/>
    <w:rsid w:val="0016222B"/>
    <w:rsid w:val="001633B7"/>
    <w:rsid w:val="00166240"/>
    <w:rsid w:val="0017035D"/>
    <w:rsid w:val="0017173B"/>
    <w:rsid w:val="00176DCE"/>
    <w:rsid w:val="001813A4"/>
    <w:rsid w:val="00184C69"/>
    <w:rsid w:val="001855F6"/>
    <w:rsid w:val="0019479D"/>
    <w:rsid w:val="00194FDB"/>
    <w:rsid w:val="00194FE2"/>
    <w:rsid w:val="0019600B"/>
    <w:rsid w:val="001A6A27"/>
    <w:rsid w:val="001A6C11"/>
    <w:rsid w:val="001B0701"/>
    <w:rsid w:val="001B3B9C"/>
    <w:rsid w:val="001B4E69"/>
    <w:rsid w:val="001B5B74"/>
    <w:rsid w:val="001B7A52"/>
    <w:rsid w:val="001C03DE"/>
    <w:rsid w:val="001C2B03"/>
    <w:rsid w:val="001C3806"/>
    <w:rsid w:val="001C42BA"/>
    <w:rsid w:val="001C4314"/>
    <w:rsid w:val="001D3137"/>
    <w:rsid w:val="001D4F8C"/>
    <w:rsid w:val="001D5F3A"/>
    <w:rsid w:val="001D7685"/>
    <w:rsid w:val="001E3C4F"/>
    <w:rsid w:val="001E64FE"/>
    <w:rsid w:val="001F11F6"/>
    <w:rsid w:val="001F1324"/>
    <w:rsid w:val="001F196C"/>
    <w:rsid w:val="001F6790"/>
    <w:rsid w:val="00202F4F"/>
    <w:rsid w:val="0020506B"/>
    <w:rsid w:val="0021358D"/>
    <w:rsid w:val="00221CC5"/>
    <w:rsid w:val="00226641"/>
    <w:rsid w:val="00227161"/>
    <w:rsid w:val="0022757D"/>
    <w:rsid w:val="002370B9"/>
    <w:rsid w:val="0024171B"/>
    <w:rsid w:val="00241D30"/>
    <w:rsid w:val="00242467"/>
    <w:rsid w:val="00242E94"/>
    <w:rsid w:val="002442CD"/>
    <w:rsid w:val="00244326"/>
    <w:rsid w:val="002452EB"/>
    <w:rsid w:val="0024774A"/>
    <w:rsid w:val="00250073"/>
    <w:rsid w:val="0025729C"/>
    <w:rsid w:val="00285856"/>
    <w:rsid w:val="002946CF"/>
    <w:rsid w:val="002A3BFC"/>
    <w:rsid w:val="002B03B2"/>
    <w:rsid w:val="002B326A"/>
    <w:rsid w:val="002B4604"/>
    <w:rsid w:val="002B5AE3"/>
    <w:rsid w:val="002B7693"/>
    <w:rsid w:val="002C03BB"/>
    <w:rsid w:val="002C2F2A"/>
    <w:rsid w:val="002C3272"/>
    <w:rsid w:val="002C671B"/>
    <w:rsid w:val="002D17D4"/>
    <w:rsid w:val="002D4633"/>
    <w:rsid w:val="002D488E"/>
    <w:rsid w:val="002D4AEC"/>
    <w:rsid w:val="002D6170"/>
    <w:rsid w:val="002E331D"/>
    <w:rsid w:val="002E3C90"/>
    <w:rsid w:val="002E7603"/>
    <w:rsid w:val="002F0C4F"/>
    <w:rsid w:val="002F3299"/>
    <w:rsid w:val="002F77C5"/>
    <w:rsid w:val="00300484"/>
    <w:rsid w:val="00300B38"/>
    <w:rsid w:val="003012AC"/>
    <w:rsid w:val="00307D71"/>
    <w:rsid w:val="003216E7"/>
    <w:rsid w:val="003227C6"/>
    <w:rsid w:val="0032474B"/>
    <w:rsid w:val="00324A94"/>
    <w:rsid w:val="00325444"/>
    <w:rsid w:val="003262C3"/>
    <w:rsid w:val="00330C3E"/>
    <w:rsid w:val="0033555A"/>
    <w:rsid w:val="003361BB"/>
    <w:rsid w:val="00336C03"/>
    <w:rsid w:val="00343B66"/>
    <w:rsid w:val="00345B26"/>
    <w:rsid w:val="00345C34"/>
    <w:rsid w:val="0035294B"/>
    <w:rsid w:val="00356F02"/>
    <w:rsid w:val="003573A5"/>
    <w:rsid w:val="00363E2F"/>
    <w:rsid w:val="0036475A"/>
    <w:rsid w:val="0036497C"/>
    <w:rsid w:val="00365D95"/>
    <w:rsid w:val="00367569"/>
    <w:rsid w:val="00374508"/>
    <w:rsid w:val="0037450C"/>
    <w:rsid w:val="00380149"/>
    <w:rsid w:val="0038077F"/>
    <w:rsid w:val="003816BE"/>
    <w:rsid w:val="00382647"/>
    <w:rsid w:val="003A1B5A"/>
    <w:rsid w:val="003A4D74"/>
    <w:rsid w:val="003A5A1D"/>
    <w:rsid w:val="003A7CF8"/>
    <w:rsid w:val="003B0B1D"/>
    <w:rsid w:val="003B457D"/>
    <w:rsid w:val="003B5DEE"/>
    <w:rsid w:val="003B7FB8"/>
    <w:rsid w:val="003C2252"/>
    <w:rsid w:val="003C47FE"/>
    <w:rsid w:val="003C5CE7"/>
    <w:rsid w:val="003C703E"/>
    <w:rsid w:val="003D16B1"/>
    <w:rsid w:val="003D5D9F"/>
    <w:rsid w:val="003E1FBC"/>
    <w:rsid w:val="003E3B02"/>
    <w:rsid w:val="003E4D32"/>
    <w:rsid w:val="003E7AAC"/>
    <w:rsid w:val="003F059A"/>
    <w:rsid w:val="003F5171"/>
    <w:rsid w:val="003F7D44"/>
    <w:rsid w:val="00400017"/>
    <w:rsid w:val="00400E5F"/>
    <w:rsid w:val="0040200A"/>
    <w:rsid w:val="004024E2"/>
    <w:rsid w:val="004032FE"/>
    <w:rsid w:val="00404DF8"/>
    <w:rsid w:val="00404EF3"/>
    <w:rsid w:val="00405041"/>
    <w:rsid w:val="00406085"/>
    <w:rsid w:val="00407BE3"/>
    <w:rsid w:val="00411B4F"/>
    <w:rsid w:val="00412F9E"/>
    <w:rsid w:val="004150EA"/>
    <w:rsid w:val="0041624E"/>
    <w:rsid w:val="004228F1"/>
    <w:rsid w:val="00423845"/>
    <w:rsid w:val="00424670"/>
    <w:rsid w:val="004302D3"/>
    <w:rsid w:val="004326C9"/>
    <w:rsid w:val="00432FC0"/>
    <w:rsid w:val="00433AE8"/>
    <w:rsid w:val="00434CC8"/>
    <w:rsid w:val="00435143"/>
    <w:rsid w:val="004354FC"/>
    <w:rsid w:val="00437572"/>
    <w:rsid w:val="00437AF8"/>
    <w:rsid w:val="00440801"/>
    <w:rsid w:val="00441D18"/>
    <w:rsid w:val="00443DDF"/>
    <w:rsid w:val="00443E27"/>
    <w:rsid w:val="00450633"/>
    <w:rsid w:val="00452E95"/>
    <w:rsid w:val="00452F24"/>
    <w:rsid w:val="00453D6B"/>
    <w:rsid w:val="00456DC4"/>
    <w:rsid w:val="00461BB5"/>
    <w:rsid w:val="004621C2"/>
    <w:rsid w:val="00463ADD"/>
    <w:rsid w:val="004663E1"/>
    <w:rsid w:val="0046658D"/>
    <w:rsid w:val="00470860"/>
    <w:rsid w:val="00473C75"/>
    <w:rsid w:val="004741F6"/>
    <w:rsid w:val="00475CCA"/>
    <w:rsid w:val="00476BF8"/>
    <w:rsid w:val="00477961"/>
    <w:rsid w:val="00480E6A"/>
    <w:rsid w:val="00483633"/>
    <w:rsid w:val="00484484"/>
    <w:rsid w:val="00485B06"/>
    <w:rsid w:val="0049051A"/>
    <w:rsid w:val="00497BCB"/>
    <w:rsid w:val="00497F32"/>
    <w:rsid w:val="004A1B31"/>
    <w:rsid w:val="004A56C8"/>
    <w:rsid w:val="004B0B8A"/>
    <w:rsid w:val="004B1178"/>
    <w:rsid w:val="004B4EFA"/>
    <w:rsid w:val="004B5664"/>
    <w:rsid w:val="004B697C"/>
    <w:rsid w:val="004B722D"/>
    <w:rsid w:val="004C3685"/>
    <w:rsid w:val="004C6607"/>
    <w:rsid w:val="004D19C5"/>
    <w:rsid w:val="004D4DAE"/>
    <w:rsid w:val="004D5CAF"/>
    <w:rsid w:val="004E0BB7"/>
    <w:rsid w:val="004E1D2D"/>
    <w:rsid w:val="004E23AB"/>
    <w:rsid w:val="004E63D5"/>
    <w:rsid w:val="004E6A60"/>
    <w:rsid w:val="004F2A72"/>
    <w:rsid w:val="004F366B"/>
    <w:rsid w:val="004F56FF"/>
    <w:rsid w:val="004F7F79"/>
    <w:rsid w:val="00500C99"/>
    <w:rsid w:val="005032CE"/>
    <w:rsid w:val="00503B6B"/>
    <w:rsid w:val="00504E7A"/>
    <w:rsid w:val="005056BF"/>
    <w:rsid w:val="00506341"/>
    <w:rsid w:val="00512116"/>
    <w:rsid w:val="00512C54"/>
    <w:rsid w:val="005200E1"/>
    <w:rsid w:val="0052061E"/>
    <w:rsid w:val="005238AE"/>
    <w:rsid w:val="0052472D"/>
    <w:rsid w:val="00526354"/>
    <w:rsid w:val="0052748B"/>
    <w:rsid w:val="00527770"/>
    <w:rsid w:val="00535622"/>
    <w:rsid w:val="00536EB3"/>
    <w:rsid w:val="00541DD1"/>
    <w:rsid w:val="00542007"/>
    <w:rsid w:val="00542256"/>
    <w:rsid w:val="0054277B"/>
    <w:rsid w:val="0054411B"/>
    <w:rsid w:val="00544C5D"/>
    <w:rsid w:val="005452D0"/>
    <w:rsid w:val="0054711C"/>
    <w:rsid w:val="005477F1"/>
    <w:rsid w:val="00554942"/>
    <w:rsid w:val="00561E18"/>
    <w:rsid w:val="00562144"/>
    <w:rsid w:val="005643FA"/>
    <w:rsid w:val="00566484"/>
    <w:rsid w:val="00566F6C"/>
    <w:rsid w:val="00581D4C"/>
    <w:rsid w:val="00585A53"/>
    <w:rsid w:val="00585B3B"/>
    <w:rsid w:val="00587AFB"/>
    <w:rsid w:val="0059023E"/>
    <w:rsid w:val="00590FD6"/>
    <w:rsid w:val="00593E03"/>
    <w:rsid w:val="00594316"/>
    <w:rsid w:val="00595052"/>
    <w:rsid w:val="00597286"/>
    <w:rsid w:val="00597F1D"/>
    <w:rsid w:val="005A1049"/>
    <w:rsid w:val="005A2A12"/>
    <w:rsid w:val="005A4D49"/>
    <w:rsid w:val="005A4EA5"/>
    <w:rsid w:val="005B2EA7"/>
    <w:rsid w:val="005B4FAC"/>
    <w:rsid w:val="005B7A11"/>
    <w:rsid w:val="005D1029"/>
    <w:rsid w:val="005D2A51"/>
    <w:rsid w:val="005D61BE"/>
    <w:rsid w:val="005D6FA2"/>
    <w:rsid w:val="005D7A45"/>
    <w:rsid w:val="005F2810"/>
    <w:rsid w:val="005F5A8E"/>
    <w:rsid w:val="005F5D90"/>
    <w:rsid w:val="005F696B"/>
    <w:rsid w:val="005F7759"/>
    <w:rsid w:val="00600062"/>
    <w:rsid w:val="00603903"/>
    <w:rsid w:val="00604D3E"/>
    <w:rsid w:val="006072FA"/>
    <w:rsid w:val="006122DA"/>
    <w:rsid w:val="00613DA6"/>
    <w:rsid w:val="00615293"/>
    <w:rsid w:val="0061614B"/>
    <w:rsid w:val="006177DA"/>
    <w:rsid w:val="00620BCC"/>
    <w:rsid w:val="00621958"/>
    <w:rsid w:val="006252BB"/>
    <w:rsid w:val="006276A9"/>
    <w:rsid w:val="00630FB1"/>
    <w:rsid w:val="00630FD5"/>
    <w:rsid w:val="00633CBF"/>
    <w:rsid w:val="00635AD5"/>
    <w:rsid w:val="00637FAF"/>
    <w:rsid w:val="006423DD"/>
    <w:rsid w:val="00642736"/>
    <w:rsid w:val="0065136C"/>
    <w:rsid w:val="00664606"/>
    <w:rsid w:val="00671DE4"/>
    <w:rsid w:val="00672567"/>
    <w:rsid w:val="00675499"/>
    <w:rsid w:val="0068437F"/>
    <w:rsid w:val="006870D2"/>
    <w:rsid w:val="00692ED8"/>
    <w:rsid w:val="00694A1A"/>
    <w:rsid w:val="00695214"/>
    <w:rsid w:val="00695F0B"/>
    <w:rsid w:val="006A11AF"/>
    <w:rsid w:val="006A3007"/>
    <w:rsid w:val="006B1BE7"/>
    <w:rsid w:val="006B6B81"/>
    <w:rsid w:val="006C0744"/>
    <w:rsid w:val="006C1A4C"/>
    <w:rsid w:val="006C2CDE"/>
    <w:rsid w:val="006C60BA"/>
    <w:rsid w:val="006C65FE"/>
    <w:rsid w:val="006C6B32"/>
    <w:rsid w:val="006D034F"/>
    <w:rsid w:val="006D3462"/>
    <w:rsid w:val="006D44D5"/>
    <w:rsid w:val="006E7B50"/>
    <w:rsid w:val="006F2E37"/>
    <w:rsid w:val="006F788A"/>
    <w:rsid w:val="007002C8"/>
    <w:rsid w:val="00704E22"/>
    <w:rsid w:val="00704E47"/>
    <w:rsid w:val="00707423"/>
    <w:rsid w:val="007174A9"/>
    <w:rsid w:val="00720251"/>
    <w:rsid w:val="007237E1"/>
    <w:rsid w:val="00725376"/>
    <w:rsid w:val="00726311"/>
    <w:rsid w:val="00731D08"/>
    <w:rsid w:val="00734124"/>
    <w:rsid w:val="00737118"/>
    <w:rsid w:val="00740549"/>
    <w:rsid w:val="00743FA5"/>
    <w:rsid w:val="007515BA"/>
    <w:rsid w:val="00751866"/>
    <w:rsid w:val="00753380"/>
    <w:rsid w:val="00753E8F"/>
    <w:rsid w:val="00755755"/>
    <w:rsid w:val="00755DF9"/>
    <w:rsid w:val="00764A9A"/>
    <w:rsid w:val="00770A3C"/>
    <w:rsid w:val="007737D3"/>
    <w:rsid w:val="00776A0B"/>
    <w:rsid w:val="00777819"/>
    <w:rsid w:val="007816BA"/>
    <w:rsid w:val="00781852"/>
    <w:rsid w:val="00781925"/>
    <w:rsid w:val="00783641"/>
    <w:rsid w:val="0079033D"/>
    <w:rsid w:val="00795AD9"/>
    <w:rsid w:val="00796DD7"/>
    <w:rsid w:val="007A6102"/>
    <w:rsid w:val="007B157B"/>
    <w:rsid w:val="007B4DDE"/>
    <w:rsid w:val="007B51B1"/>
    <w:rsid w:val="007B576A"/>
    <w:rsid w:val="007B648E"/>
    <w:rsid w:val="007C00F6"/>
    <w:rsid w:val="007C04BB"/>
    <w:rsid w:val="007C1DA4"/>
    <w:rsid w:val="007C290D"/>
    <w:rsid w:val="007C5AB9"/>
    <w:rsid w:val="007C7D14"/>
    <w:rsid w:val="007D56D3"/>
    <w:rsid w:val="007D56EC"/>
    <w:rsid w:val="007D5E8A"/>
    <w:rsid w:val="007E010D"/>
    <w:rsid w:val="007E2AC9"/>
    <w:rsid w:val="007E63DC"/>
    <w:rsid w:val="007E6ACB"/>
    <w:rsid w:val="007E7A38"/>
    <w:rsid w:val="007F0EE8"/>
    <w:rsid w:val="007F26A0"/>
    <w:rsid w:val="007F2825"/>
    <w:rsid w:val="007F5D34"/>
    <w:rsid w:val="008001B4"/>
    <w:rsid w:val="00804E0A"/>
    <w:rsid w:val="00815384"/>
    <w:rsid w:val="008153FB"/>
    <w:rsid w:val="00817F64"/>
    <w:rsid w:val="008206F4"/>
    <w:rsid w:val="008240A8"/>
    <w:rsid w:val="0082656A"/>
    <w:rsid w:val="00827B0C"/>
    <w:rsid w:val="00827BDF"/>
    <w:rsid w:val="00827CEA"/>
    <w:rsid w:val="00830891"/>
    <w:rsid w:val="008413FB"/>
    <w:rsid w:val="0085543D"/>
    <w:rsid w:val="0085777D"/>
    <w:rsid w:val="0086026E"/>
    <w:rsid w:val="00861265"/>
    <w:rsid w:val="0086494C"/>
    <w:rsid w:val="00864B5F"/>
    <w:rsid w:val="008664F9"/>
    <w:rsid w:val="00872060"/>
    <w:rsid w:val="00873CA5"/>
    <w:rsid w:val="00880CAE"/>
    <w:rsid w:val="0088202C"/>
    <w:rsid w:val="00883A6F"/>
    <w:rsid w:val="00887CEA"/>
    <w:rsid w:val="008A053D"/>
    <w:rsid w:val="008A13FC"/>
    <w:rsid w:val="008A16C3"/>
    <w:rsid w:val="008A54EB"/>
    <w:rsid w:val="008A7BAA"/>
    <w:rsid w:val="008B086D"/>
    <w:rsid w:val="008B24E9"/>
    <w:rsid w:val="008B5724"/>
    <w:rsid w:val="008B6868"/>
    <w:rsid w:val="008C112E"/>
    <w:rsid w:val="008C2770"/>
    <w:rsid w:val="008C4E90"/>
    <w:rsid w:val="008C5F9E"/>
    <w:rsid w:val="008C7CE9"/>
    <w:rsid w:val="008D28BC"/>
    <w:rsid w:val="008D28D5"/>
    <w:rsid w:val="008E3281"/>
    <w:rsid w:val="008E59E0"/>
    <w:rsid w:val="008E7195"/>
    <w:rsid w:val="008F08B9"/>
    <w:rsid w:val="008F19A1"/>
    <w:rsid w:val="008F2C09"/>
    <w:rsid w:val="008F4637"/>
    <w:rsid w:val="008F5D3F"/>
    <w:rsid w:val="008F621A"/>
    <w:rsid w:val="00902D7B"/>
    <w:rsid w:val="00906957"/>
    <w:rsid w:val="00912ACA"/>
    <w:rsid w:val="00912D21"/>
    <w:rsid w:val="009167F6"/>
    <w:rsid w:val="00916874"/>
    <w:rsid w:val="009201E2"/>
    <w:rsid w:val="00921F31"/>
    <w:rsid w:val="00922B04"/>
    <w:rsid w:val="00923A22"/>
    <w:rsid w:val="009305A6"/>
    <w:rsid w:val="00933D4F"/>
    <w:rsid w:val="009353CC"/>
    <w:rsid w:val="0093543C"/>
    <w:rsid w:val="0094053C"/>
    <w:rsid w:val="00941702"/>
    <w:rsid w:val="0094543C"/>
    <w:rsid w:val="00945725"/>
    <w:rsid w:val="009458B9"/>
    <w:rsid w:val="00946FB4"/>
    <w:rsid w:val="00951412"/>
    <w:rsid w:val="00954C5C"/>
    <w:rsid w:val="00956314"/>
    <w:rsid w:val="0096029E"/>
    <w:rsid w:val="00970C94"/>
    <w:rsid w:val="00970F3C"/>
    <w:rsid w:val="00975142"/>
    <w:rsid w:val="0097533D"/>
    <w:rsid w:val="00975AC6"/>
    <w:rsid w:val="00975D78"/>
    <w:rsid w:val="0099406A"/>
    <w:rsid w:val="00994850"/>
    <w:rsid w:val="00995AF5"/>
    <w:rsid w:val="009A2846"/>
    <w:rsid w:val="009A7928"/>
    <w:rsid w:val="009B7261"/>
    <w:rsid w:val="009B7471"/>
    <w:rsid w:val="009B74AC"/>
    <w:rsid w:val="009C34E4"/>
    <w:rsid w:val="009C49B3"/>
    <w:rsid w:val="009D3EDB"/>
    <w:rsid w:val="009D465A"/>
    <w:rsid w:val="009D4A1D"/>
    <w:rsid w:val="009D60A1"/>
    <w:rsid w:val="009D6DB8"/>
    <w:rsid w:val="009E239A"/>
    <w:rsid w:val="009E3585"/>
    <w:rsid w:val="00A03C00"/>
    <w:rsid w:val="00A03C30"/>
    <w:rsid w:val="00A1346B"/>
    <w:rsid w:val="00A1355A"/>
    <w:rsid w:val="00A20042"/>
    <w:rsid w:val="00A20912"/>
    <w:rsid w:val="00A2133D"/>
    <w:rsid w:val="00A231B1"/>
    <w:rsid w:val="00A2455E"/>
    <w:rsid w:val="00A25EAF"/>
    <w:rsid w:val="00A3190E"/>
    <w:rsid w:val="00A34883"/>
    <w:rsid w:val="00A430C9"/>
    <w:rsid w:val="00A43A15"/>
    <w:rsid w:val="00A43CE3"/>
    <w:rsid w:val="00A43E0C"/>
    <w:rsid w:val="00A443BE"/>
    <w:rsid w:val="00A5141D"/>
    <w:rsid w:val="00A5270A"/>
    <w:rsid w:val="00A52ED0"/>
    <w:rsid w:val="00A52EDD"/>
    <w:rsid w:val="00A55430"/>
    <w:rsid w:val="00A72DA3"/>
    <w:rsid w:val="00A739AF"/>
    <w:rsid w:val="00A7555F"/>
    <w:rsid w:val="00A75CFC"/>
    <w:rsid w:val="00A82582"/>
    <w:rsid w:val="00A839AC"/>
    <w:rsid w:val="00A9078B"/>
    <w:rsid w:val="00A933AE"/>
    <w:rsid w:val="00A942B6"/>
    <w:rsid w:val="00A95922"/>
    <w:rsid w:val="00A97AEE"/>
    <w:rsid w:val="00AA2508"/>
    <w:rsid w:val="00AA3981"/>
    <w:rsid w:val="00AA55FA"/>
    <w:rsid w:val="00AA7870"/>
    <w:rsid w:val="00AB3378"/>
    <w:rsid w:val="00AC21A6"/>
    <w:rsid w:val="00AC3CB1"/>
    <w:rsid w:val="00AD230D"/>
    <w:rsid w:val="00AE1D14"/>
    <w:rsid w:val="00AE4904"/>
    <w:rsid w:val="00AE593B"/>
    <w:rsid w:val="00AE6893"/>
    <w:rsid w:val="00AE7025"/>
    <w:rsid w:val="00AF2B34"/>
    <w:rsid w:val="00AF30CD"/>
    <w:rsid w:val="00AF3873"/>
    <w:rsid w:val="00AF5432"/>
    <w:rsid w:val="00AF5B48"/>
    <w:rsid w:val="00B03AA8"/>
    <w:rsid w:val="00B124A6"/>
    <w:rsid w:val="00B20941"/>
    <w:rsid w:val="00B218DA"/>
    <w:rsid w:val="00B21CE0"/>
    <w:rsid w:val="00B22DE3"/>
    <w:rsid w:val="00B22EF2"/>
    <w:rsid w:val="00B24307"/>
    <w:rsid w:val="00B26C7B"/>
    <w:rsid w:val="00B32F35"/>
    <w:rsid w:val="00B41DD6"/>
    <w:rsid w:val="00B4250E"/>
    <w:rsid w:val="00B429B3"/>
    <w:rsid w:val="00B46D77"/>
    <w:rsid w:val="00B5733D"/>
    <w:rsid w:val="00B57A8B"/>
    <w:rsid w:val="00B60ECD"/>
    <w:rsid w:val="00B6103D"/>
    <w:rsid w:val="00B70DAE"/>
    <w:rsid w:val="00B73D76"/>
    <w:rsid w:val="00B745AC"/>
    <w:rsid w:val="00B74EF6"/>
    <w:rsid w:val="00B76487"/>
    <w:rsid w:val="00B819DF"/>
    <w:rsid w:val="00B845E8"/>
    <w:rsid w:val="00B86A8E"/>
    <w:rsid w:val="00B873D0"/>
    <w:rsid w:val="00B90077"/>
    <w:rsid w:val="00B901E0"/>
    <w:rsid w:val="00B9463A"/>
    <w:rsid w:val="00B95855"/>
    <w:rsid w:val="00BA07CE"/>
    <w:rsid w:val="00BA0E51"/>
    <w:rsid w:val="00BA1206"/>
    <w:rsid w:val="00BA5F39"/>
    <w:rsid w:val="00BA62C0"/>
    <w:rsid w:val="00BA6B6A"/>
    <w:rsid w:val="00BA6DA2"/>
    <w:rsid w:val="00BB0976"/>
    <w:rsid w:val="00BB42EE"/>
    <w:rsid w:val="00BB4478"/>
    <w:rsid w:val="00BB67B7"/>
    <w:rsid w:val="00BB71FA"/>
    <w:rsid w:val="00BB7664"/>
    <w:rsid w:val="00BC076E"/>
    <w:rsid w:val="00BC3820"/>
    <w:rsid w:val="00BC4334"/>
    <w:rsid w:val="00BC5DE0"/>
    <w:rsid w:val="00BC5EE6"/>
    <w:rsid w:val="00BD005A"/>
    <w:rsid w:val="00BD2A35"/>
    <w:rsid w:val="00BD3538"/>
    <w:rsid w:val="00BD4A3E"/>
    <w:rsid w:val="00BD7882"/>
    <w:rsid w:val="00BD78D6"/>
    <w:rsid w:val="00BE0B10"/>
    <w:rsid w:val="00BE599C"/>
    <w:rsid w:val="00BE6149"/>
    <w:rsid w:val="00BE6D3F"/>
    <w:rsid w:val="00BE6EC4"/>
    <w:rsid w:val="00BF27DD"/>
    <w:rsid w:val="00BF6598"/>
    <w:rsid w:val="00C01954"/>
    <w:rsid w:val="00C03032"/>
    <w:rsid w:val="00C05654"/>
    <w:rsid w:val="00C05AC2"/>
    <w:rsid w:val="00C11E6A"/>
    <w:rsid w:val="00C16B46"/>
    <w:rsid w:val="00C23669"/>
    <w:rsid w:val="00C24656"/>
    <w:rsid w:val="00C32611"/>
    <w:rsid w:val="00C35F14"/>
    <w:rsid w:val="00C41285"/>
    <w:rsid w:val="00C427E2"/>
    <w:rsid w:val="00C50BCA"/>
    <w:rsid w:val="00C5158F"/>
    <w:rsid w:val="00C51E16"/>
    <w:rsid w:val="00C54B9C"/>
    <w:rsid w:val="00C552A9"/>
    <w:rsid w:val="00C55A42"/>
    <w:rsid w:val="00C55DF0"/>
    <w:rsid w:val="00C5768C"/>
    <w:rsid w:val="00C61166"/>
    <w:rsid w:val="00C61255"/>
    <w:rsid w:val="00C73A47"/>
    <w:rsid w:val="00C857F2"/>
    <w:rsid w:val="00C90F2E"/>
    <w:rsid w:val="00C9177B"/>
    <w:rsid w:val="00C91EA9"/>
    <w:rsid w:val="00C9264C"/>
    <w:rsid w:val="00C95F37"/>
    <w:rsid w:val="00CA312D"/>
    <w:rsid w:val="00CA44E2"/>
    <w:rsid w:val="00CA72CE"/>
    <w:rsid w:val="00CA7FA9"/>
    <w:rsid w:val="00CB4044"/>
    <w:rsid w:val="00CB7628"/>
    <w:rsid w:val="00CD1597"/>
    <w:rsid w:val="00CD1915"/>
    <w:rsid w:val="00CD3014"/>
    <w:rsid w:val="00CE3126"/>
    <w:rsid w:val="00CE3330"/>
    <w:rsid w:val="00CE46C0"/>
    <w:rsid w:val="00CE4CA8"/>
    <w:rsid w:val="00CE7275"/>
    <w:rsid w:val="00CF1161"/>
    <w:rsid w:val="00CF6647"/>
    <w:rsid w:val="00CF6778"/>
    <w:rsid w:val="00D00804"/>
    <w:rsid w:val="00D00D51"/>
    <w:rsid w:val="00D021BB"/>
    <w:rsid w:val="00D028D7"/>
    <w:rsid w:val="00D12E7B"/>
    <w:rsid w:val="00D15036"/>
    <w:rsid w:val="00D15B92"/>
    <w:rsid w:val="00D174FB"/>
    <w:rsid w:val="00D179E9"/>
    <w:rsid w:val="00D22C47"/>
    <w:rsid w:val="00D25E56"/>
    <w:rsid w:val="00D306A6"/>
    <w:rsid w:val="00D309A7"/>
    <w:rsid w:val="00D32F51"/>
    <w:rsid w:val="00D35A3B"/>
    <w:rsid w:val="00D412BC"/>
    <w:rsid w:val="00D446EB"/>
    <w:rsid w:val="00D46C9E"/>
    <w:rsid w:val="00D4749A"/>
    <w:rsid w:val="00D500E5"/>
    <w:rsid w:val="00D5474B"/>
    <w:rsid w:val="00D5599F"/>
    <w:rsid w:val="00D55C85"/>
    <w:rsid w:val="00D6063A"/>
    <w:rsid w:val="00D61570"/>
    <w:rsid w:val="00D61FE9"/>
    <w:rsid w:val="00D63B38"/>
    <w:rsid w:val="00D6532E"/>
    <w:rsid w:val="00D727A0"/>
    <w:rsid w:val="00D739D2"/>
    <w:rsid w:val="00D7538D"/>
    <w:rsid w:val="00D75F3C"/>
    <w:rsid w:val="00D776D0"/>
    <w:rsid w:val="00D82DDC"/>
    <w:rsid w:val="00D83C84"/>
    <w:rsid w:val="00D93F68"/>
    <w:rsid w:val="00D94037"/>
    <w:rsid w:val="00DA47BB"/>
    <w:rsid w:val="00DA4C76"/>
    <w:rsid w:val="00DA7BD4"/>
    <w:rsid w:val="00DB29F9"/>
    <w:rsid w:val="00DB7326"/>
    <w:rsid w:val="00DC2755"/>
    <w:rsid w:val="00DC275E"/>
    <w:rsid w:val="00DC510A"/>
    <w:rsid w:val="00DC6993"/>
    <w:rsid w:val="00DD065A"/>
    <w:rsid w:val="00DD110B"/>
    <w:rsid w:val="00DD3485"/>
    <w:rsid w:val="00DD4DBE"/>
    <w:rsid w:val="00DD7E25"/>
    <w:rsid w:val="00DE38BD"/>
    <w:rsid w:val="00DE49B9"/>
    <w:rsid w:val="00DF4F49"/>
    <w:rsid w:val="00DF6398"/>
    <w:rsid w:val="00DF7115"/>
    <w:rsid w:val="00DF7BA2"/>
    <w:rsid w:val="00E01246"/>
    <w:rsid w:val="00E034FB"/>
    <w:rsid w:val="00E04E70"/>
    <w:rsid w:val="00E06688"/>
    <w:rsid w:val="00E109E5"/>
    <w:rsid w:val="00E1579C"/>
    <w:rsid w:val="00E17083"/>
    <w:rsid w:val="00E24A31"/>
    <w:rsid w:val="00E25A6E"/>
    <w:rsid w:val="00E339CA"/>
    <w:rsid w:val="00E3790A"/>
    <w:rsid w:val="00E427BA"/>
    <w:rsid w:val="00E42F63"/>
    <w:rsid w:val="00E45A7E"/>
    <w:rsid w:val="00E53DD0"/>
    <w:rsid w:val="00E55776"/>
    <w:rsid w:val="00E5654B"/>
    <w:rsid w:val="00E605BB"/>
    <w:rsid w:val="00E607F1"/>
    <w:rsid w:val="00E61A4F"/>
    <w:rsid w:val="00E6283B"/>
    <w:rsid w:val="00E64B04"/>
    <w:rsid w:val="00E66C66"/>
    <w:rsid w:val="00E67FC0"/>
    <w:rsid w:val="00E74698"/>
    <w:rsid w:val="00E75018"/>
    <w:rsid w:val="00E75EE1"/>
    <w:rsid w:val="00E77AE2"/>
    <w:rsid w:val="00E83770"/>
    <w:rsid w:val="00E853C4"/>
    <w:rsid w:val="00E862B7"/>
    <w:rsid w:val="00E87CA2"/>
    <w:rsid w:val="00EA1106"/>
    <w:rsid w:val="00EA12A8"/>
    <w:rsid w:val="00EA13FC"/>
    <w:rsid w:val="00EA563E"/>
    <w:rsid w:val="00EA595A"/>
    <w:rsid w:val="00EA6DB7"/>
    <w:rsid w:val="00EA7EB4"/>
    <w:rsid w:val="00EB3236"/>
    <w:rsid w:val="00EC2A69"/>
    <w:rsid w:val="00EC6ACC"/>
    <w:rsid w:val="00EC7B5D"/>
    <w:rsid w:val="00ED0255"/>
    <w:rsid w:val="00ED0779"/>
    <w:rsid w:val="00ED0B42"/>
    <w:rsid w:val="00ED2237"/>
    <w:rsid w:val="00ED3544"/>
    <w:rsid w:val="00ED439D"/>
    <w:rsid w:val="00ED56C5"/>
    <w:rsid w:val="00ED68C8"/>
    <w:rsid w:val="00EE4569"/>
    <w:rsid w:val="00EF0BEE"/>
    <w:rsid w:val="00EF2ED7"/>
    <w:rsid w:val="00EF32F6"/>
    <w:rsid w:val="00EF4680"/>
    <w:rsid w:val="00EF53CB"/>
    <w:rsid w:val="00EF70C5"/>
    <w:rsid w:val="00EF738C"/>
    <w:rsid w:val="00F06CA6"/>
    <w:rsid w:val="00F11B2E"/>
    <w:rsid w:val="00F11E37"/>
    <w:rsid w:val="00F15963"/>
    <w:rsid w:val="00F23947"/>
    <w:rsid w:val="00F2415D"/>
    <w:rsid w:val="00F3407E"/>
    <w:rsid w:val="00F34C70"/>
    <w:rsid w:val="00F354D9"/>
    <w:rsid w:val="00F3778E"/>
    <w:rsid w:val="00F37B24"/>
    <w:rsid w:val="00F46D69"/>
    <w:rsid w:val="00F53303"/>
    <w:rsid w:val="00F540C3"/>
    <w:rsid w:val="00F5565B"/>
    <w:rsid w:val="00F56815"/>
    <w:rsid w:val="00F611A5"/>
    <w:rsid w:val="00F63E5C"/>
    <w:rsid w:val="00F65206"/>
    <w:rsid w:val="00F65D17"/>
    <w:rsid w:val="00F702B9"/>
    <w:rsid w:val="00F74592"/>
    <w:rsid w:val="00F76E8F"/>
    <w:rsid w:val="00F81C37"/>
    <w:rsid w:val="00F82B07"/>
    <w:rsid w:val="00F82DEF"/>
    <w:rsid w:val="00F844F7"/>
    <w:rsid w:val="00F85606"/>
    <w:rsid w:val="00F8563C"/>
    <w:rsid w:val="00F86C65"/>
    <w:rsid w:val="00F86EFC"/>
    <w:rsid w:val="00F92AC5"/>
    <w:rsid w:val="00F93B92"/>
    <w:rsid w:val="00F96FED"/>
    <w:rsid w:val="00FA02CE"/>
    <w:rsid w:val="00FA4012"/>
    <w:rsid w:val="00FA5488"/>
    <w:rsid w:val="00FA6684"/>
    <w:rsid w:val="00FB0D52"/>
    <w:rsid w:val="00FB387D"/>
    <w:rsid w:val="00FB7B07"/>
    <w:rsid w:val="00FC0B9D"/>
    <w:rsid w:val="00FC142F"/>
    <w:rsid w:val="00FC2664"/>
    <w:rsid w:val="00FD1207"/>
    <w:rsid w:val="00FD151C"/>
    <w:rsid w:val="00FD5A56"/>
    <w:rsid w:val="00FD5FF8"/>
    <w:rsid w:val="00FD68FD"/>
    <w:rsid w:val="00FE1734"/>
    <w:rsid w:val="00FE2649"/>
    <w:rsid w:val="00FE7E7F"/>
    <w:rsid w:val="00FF5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472">
      <w:bodyDiv w:val="1"/>
      <w:marLeft w:val="0"/>
      <w:marRight w:val="0"/>
      <w:marTop w:val="0"/>
      <w:marBottom w:val="0"/>
      <w:divBdr>
        <w:top w:val="none" w:sz="0" w:space="0" w:color="auto"/>
        <w:left w:val="none" w:sz="0" w:space="0" w:color="auto"/>
        <w:bottom w:val="none" w:sz="0" w:space="0" w:color="auto"/>
        <w:right w:val="none" w:sz="0" w:space="0" w:color="auto"/>
      </w:divBdr>
    </w:div>
    <w:div w:id="194733014">
      <w:bodyDiv w:val="1"/>
      <w:marLeft w:val="0"/>
      <w:marRight w:val="0"/>
      <w:marTop w:val="0"/>
      <w:marBottom w:val="0"/>
      <w:divBdr>
        <w:top w:val="none" w:sz="0" w:space="0" w:color="auto"/>
        <w:left w:val="none" w:sz="0" w:space="0" w:color="auto"/>
        <w:bottom w:val="none" w:sz="0" w:space="0" w:color="auto"/>
        <w:right w:val="none" w:sz="0" w:space="0" w:color="auto"/>
      </w:divBdr>
    </w:div>
    <w:div w:id="359664999">
      <w:bodyDiv w:val="1"/>
      <w:marLeft w:val="0"/>
      <w:marRight w:val="0"/>
      <w:marTop w:val="0"/>
      <w:marBottom w:val="0"/>
      <w:divBdr>
        <w:top w:val="none" w:sz="0" w:space="0" w:color="auto"/>
        <w:left w:val="none" w:sz="0" w:space="0" w:color="auto"/>
        <w:bottom w:val="none" w:sz="0" w:space="0" w:color="auto"/>
        <w:right w:val="none" w:sz="0" w:space="0" w:color="auto"/>
      </w:divBdr>
    </w:div>
    <w:div w:id="387920739">
      <w:bodyDiv w:val="1"/>
      <w:marLeft w:val="0"/>
      <w:marRight w:val="0"/>
      <w:marTop w:val="0"/>
      <w:marBottom w:val="0"/>
      <w:divBdr>
        <w:top w:val="none" w:sz="0" w:space="0" w:color="auto"/>
        <w:left w:val="none" w:sz="0" w:space="0" w:color="auto"/>
        <w:bottom w:val="none" w:sz="0" w:space="0" w:color="auto"/>
        <w:right w:val="none" w:sz="0" w:space="0" w:color="auto"/>
      </w:divBdr>
    </w:div>
    <w:div w:id="446780880">
      <w:bodyDiv w:val="1"/>
      <w:marLeft w:val="0"/>
      <w:marRight w:val="0"/>
      <w:marTop w:val="0"/>
      <w:marBottom w:val="0"/>
      <w:divBdr>
        <w:top w:val="none" w:sz="0" w:space="0" w:color="auto"/>
        <w:left w:val="none" w:sz="0" w:space="0" w:color="auto"/>
        <w:bottom w:val="none" w:sz="0" w:space="0" w:color="auto"/>
        <w:right w:val="none" w:sz="0" w:space="0" w:color="auto"/>
      </w:divBdr>
    </w:div>
    <w:div w:id="499781799">
      <w:bodyDiv w:val="1"/>
      <w:marLeft w:val="0"/>
      <w:marRight w:val="0"/>
      <w:marTop w:val="0"/>
      <w:marBottom w:val="0"/>
      <w:divBdr>
        <w:top w:val="none" w:sz="0" w:space="0" w:color="auto"/>
        <w:left w:val="none" w:sz="0" w:space="0" w:color="auto"/>
        <w:bottom w:val="none" w:sz="0" w:space="0" w:color="auto"/>
        <w:right w:val="none" w:sz="0" w:space="0" w:color="auto"/>
      </w:divBdr>
    </w:div>
    <w:div w:id="580408771">
      <w:bodyDiv w:val="1"/>
      <w:marLeft w:val="0"/>
      <w:marRight w:val="0"/>
      <w:marTop w:val="0"/>
      <w:marBottom w:val="0"/>
      <w:divBdr>
        <w:top w:val="none" w:sz="0" w:space="0" w:color="auto"/>
        <w:left w:val="none" w:sz="0" w:space="0" w:color="auto"/>
        <w:bottom w:val="none" w:sz="0" w:space="0" w:color="auto"/>
        <w:right w:val="none" w:sz="0" w:space="0" w:color="auto"/>
      </w:divBdr>
    </w:div>
    <w:div w:id="1027756213">
      <w:bodyDiv w:val="1"/>
      <w:marLeft w:val="0"/>
      <w:marRight w:val="0"/>
      <w:marTop w:val="0"/>
      <w:marBottom w:val="0"/>
      <w:divBdr>
        <w:top w:val="none" w:sz="0" w:space="0" w:color="auto"/>
        <w:left w:val="none" w:sz="0" w:space="0" w:color="auto"/>
        <w:bottom w:val="none" w:sz="0" w:space="0" w:color="auto"/>
        <w:right w:val="none" w:sz="0" w:space="0" w:color="auto"/>
      </w:divBdr>
    </w:div>
    <w:div w:id="1310674915">
      <w:bodyDiv w:val="1"/>
      <w:marLeft w:val="0"/>
      <w:marRight w:val="0"/>
      <w:marTop w:val="0"/>
      <w:marBottom w:val="0"/>
      <w:divBdr>
        <w:top w:val="none" w:sz="0" w:space="0" w:color="auto"/>
        <w:left w:val="none" w:sz="0" w:space="0" w:color="auto"/>
        <w:bottom w:val="none" w:sz="0" w:space="0" w:color="auto"/>
        <w:right w:val="none" w:sz="0" w:space="0" w:color="auto"/>
      </w:divBdr>
    </w:div>
    <w:div w:id="1330937247">
      <w:bodyDiv w:val="1"/>
      <w:marLeft w:val="0"/>
      <w:marRight w:val="0"/>
      <w:marTop w:val="0"/>
      <w:marBottom w:val="0"/>
      <w:divBdr>
        <w:top w:val="none" w:sz="0" w:space="0" w:color="auto"/>
        <w:left w:val="none" w:sz="0" w:space="0" w:color="auto"/>
        <w:bottom w:val="none" w:sz="0" w:space="0" w:color="auto"/>
        <w:right w:val="none" w:sz="0" w:space="0" w:color="auto"/>
      </w:divBdr>
    </w:div>
    <w:div w:id="1358582541">
      <w:bodyDiv w:val="1"/>
      <w:marLeft w:val="0"/>
      <w:marRight w:val="0"/>
      <w:marTop w:val="0"/>
      <w:marBottom w:val="0"/>
      <w:divBdr>
        <w:top w:val="none" w:sz="0" w:space="0" w:color="auto"/>
        <w:left w:val="none" w:sz="0" w:space="0" w:color="auto"/>
        <w:bottom w:val="none" w:sz="0" w:space="0" w:color="auto"/>
        <w:right w:val="none" w:sz="0" w:space="0" w:color="auto"/>
      </w:divBdr>
    </w:div>
    <w:div w:id="1409303959">
      <w:bodyDiv w:val="1"/>
      <w:marLeft w:val="0"/>
      <w:marRight w:val="0"/>
      <w:marTop w:val="0"/>
      <w:marBottom w:val="0"/>
      <w:divBdr>
        <w:top w:val="none" w:sz="0" w:space="0" w:color="auto"/>
        <w:left w:val="none" w:sz="0" w:space="0" w:color="auto"/>
        <w:bottom w:val="none" w:sz="0" w:space="0" w:color="auto"/>
        <w:right w:val="none" w:sz="0" w:space="0" w:color="auto"/>
      </w:divBdr>
    </w:div>
    <w:div w:id="1456606492">
      <w:bodyDiv w:val="1"/>
      <w:marLeft w:val="0"/>
      <w:marRight w:val="0"/>
      <w:marTop w:val="0"/>
      <w:marBottom w:val="0"/>
      <w:divBdr>
        <w:top w:val="none" w:sz="0" w:space="0" w:color="auto"/>
        <w:left w:val="none" w:sz="0" w:space="0" w:color="auto"/>
        <w:bottom w:val="none" w:sz="0" w:space="0" w:color="auto"/>
        <w:right w:val="none" w:sz="0" w:space="0" w:color="auto"/>
      </w:divBdr>
    </w:div>
    <w:div w:id="1644235437">
      <w:bodyDiv w:val="1"/>
      <w:marLeft w:val="0"/>
      <w:marRight w:val="0"/>
      <w:marTop w:val="0"/>
      <w:marBottom w:val="0"/>
      <w:divBdr>
        <w:top w:val="none" w:sz="0" w:space="0" w:color="auto"/>
        <w:left w:val="none" w:sz="0" w:space="0" w:color="auto"/>
        <w:bottom w:val="none" w:sz="0" w:space="0" w:color="auto"/>
        <w:right w:val="none" w:sz="0" w:space="0" w:color="auto"/>
      </w:divBdr>
    </w:div>
    <w:div w:id="1765688984">
      <w:bodyDiv w:val="1"/>
      <w:marLeft w:val="0"/>
      <w:marRight w:val="0"/>
      <w:marTop w:val="0"/>
      <w:marBottom w:val="0"/>
      <w:divBdr>
        <w:top w:val="none" w:sz="0" w:space="0" w:color="auto"/>
        <w:left w:val="none" w:sz="0" w:space="0" w:color="auto"/>
        <w:bottom w:val="none" w:sz="0" w:space="0" w:color="auto"/>
        <w:right w:val="none" w:sz="0" w:space="0" w:color="auto"/>
      </w:divBdr>
    </w:div>
    <w:div w:id="1765759613">
      <w:bodyDiv w:val="1"/>
      <w:marLeft w:val="0"/>
      <w:marRight w:val="0"/>
      <w:marTop w:val="0"/>
      <w:marBottom w:val="0"/>
      <w:divBdr>
        <w:top w:val="none" w:sz="0" w:space="0" w:color="auto"/>
        <w:left w:val="none" w:sz="0" w:space="0" w:color="auto"/>
        <w:bottom w:val="none" w:sz="0" w:space="0" w:color="auto"/>
        <w:right w:val="none" w:sz="0" w:space="0" w:color="auto"/>
      </w:divBdr>
    </w:div>
    <w:div w:id="1809665412">
      <w:bodyDiv w:val="1"/>
      <w:marLeft w:val="0"/>
      <w:marRight w:val="0"/>
      <w:marTop w:val="0"/>
      <w:marBottom w:val="0"/>
      <w:divBdr>
        <w:top w:val="none" w:sz="0" w:space="0" w:color="auto"/>
        <w:left w:val="none" w:sz="0" w:space="0" w:color="auto"/>
        <w:bottom w:val="none" w:sz="0" w:space="0" w:color="auto"/>
        <w:right w:val="none" w:sz="0" w:space="0" w:color="auto"/>
      </w:divBdr>
    </w:div>
    <w:div w:id="1860049937">
      <w:bodyDiv w:val="1"/>
      <w:marLeft w:val="0"/>
      <w:marRight w:val="0"/>
      <w:marTop w:val="0"/>
      <w:marBottom w:val="0"/>
      <w:divBdr>
        <w:top w:val="none" w:sz="0" w:space="0" w:color="auto"/>
        <w:left w:val="none" w:sz="0" w:space="0" w:color="auto"/>
        <w:bottom w:val="none" w:sz="0" w:space="0" w:color="auto"/>
        <w:right w:val="none" w:sz="0" w:space="0" w:color="auto"/>
      </w:divBdr>
      <w:divsChild>
        <w:div w:id="1674913027">
          <w:marLeft w:val="547"/>
          <w:marRight w:val="0"/>
          <w:marTop w:val="154"/>
          <w:marBottom w:val="0"/>
          <w:divBdr>
            <w:top w:val="none" w:sz="0" w:space="0" w:color="auto"/>
            <w:left w:val="none" w:sz="0" w:space="0" w:color="auto"/>
            <w:bottom w:val="none" w:sz="0" w:space="0" w:color="auto"/>
            <w:right w:val="none" w:sz="0" w:space="0" w:color="auto"/>
          </w:divBdr>
        </w:div>
      </w:divsChild>
    </w:div>
    <w:div w:id="1993481750">
      <w:bodyDiv w:val="1"/>
      <w:marLeft w:val="0"/>
      <w:marRight w:val="0"/>
      <w:marTop w:val="0"/>
      <w:marBottom w:val="0"/>
      <w:divBdr>
        <w:top w:val="none" w:sz="0" w:space="0" w:color="auto"/>
        <w:left w:val="none" w:sz="0" w:space="0" w:color="auto"/>
        <w:bottom w:val="none" w:sz="0" w:space="0" w:color="auto"/>
        <w:right w:val="none" w:sz="0" w:space="0" w:color="auto"/>
      </w:divBdr>
    </w:div>
    <w:div w:id="2023390531">
      <w:bodyDiv w:val="1"/>
      <w:marLeft w:val="0"/>
      <w:marRight w:val="0"/>
      <w:marTop w:val="0"/>
      <w:marBottom w:val="0"/>
      <w:divBdr>
        <w:top w:val="none" w:sz="0" w:space="0" w:color="auto"/>
        <w:left w:val="none" w:sz="0" w:space="0" w:color="auto"/>
        <w:bottom w:val="none" w:sz="0" w:space="0" w:color="auto"/>
        <w:right w:val="none" w:sz="0" w:space="0" w:color="auto"/>
      </w:divBdr>
    </w:div>
    <w:div w:id="21006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as.repec.org/s/nbr/nberwo.html" TargetMode="External"/><Relationship Id="rId18" Type="http://schemas.openxmlformats.org/officeDocument/2006/relationships/hyperlink" Target="http://ideas.repec.org/a/eee/jimfin/v27y2008i6p1013-1027.html" TargetMode="External"/><Relationship Id="rId26" Type="http://schemas.openxmlformats.org/officeDocument/2006/relationships/hyperlink" Target="http://www.stlouisfed.org" TargetMode="External"/><Relationship Id="rId3" Type="http://schemas.openxmlformats.org/officeDocument/2006/relationships/styles" Target="styles.xml"/><Relationship Id="rId21" Type="http://schemas.openxmlformats.org/officeDocument/2006/relationships/hyperlink" Target="http://ideas.repec.org/s/eee/deveco.html" TargetMode="External"/><Relationship Id="rId7" Type="http://schemas.openxmlformats.org/officeDocument/2006/relationships/footnotes" Target="footnotes.xml"/><Relationship Id="rId12" Type="http://schemas.openxmlformats.org/officeDocument/2006/relationships/hyperlink" Target="http://ideas.repec.org/p/nbr/nberwo/12718.html" TargetMode="External"/><Relationship Id="rId17" Type="http://schemas.openxmlformats.org/officeDocument/2006/relationships/hyperlink" Target="http://elibrary.worldbank.org/doi/book/10.1596/1813-9450-2392" TargetMode="External"/><Relationship Id="rId25" Type="http://schemas.openxmlformats.org/officeDocument/2006/relationships/hyperlink" Target="http://www.sciencedirect.com/science/journal/0305750X/39/5" TargetMode="External"/><Relationship Id="rId2" Type="http://schemas.openxmlformats.org/officeDocument/2006/relationships/numbering" Target="numbering.xml"/><Relationship Id="rId16" Type="http://schemas.openxmlformats.org/officeDocument/2006/relationships/hyperlink" Target="http://www-wds.worldbank.org/" TargetMode="External"/><Relationship Id="rId20" Type="http://schemas.openxmlformats.org/officeDocument/2006/relationships/hyperlink" Target="http://ideas.repec.org/a/eee/deveco/v48y1996i2p389-4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eas.repec.org/s/cdl/ucscec.html" TargetMode="External"/><Relationship Id="rId24" Type="http://schemas.openxmlformats.org/officeDocument/2006/relationships/hyperlink" Target="http://www.sciencedirect.com/science/journal/0305750X" TargetMode="External"/><Relationship Id="rId5" Type="http://schemas.openxmlformats.org/officeDocument/2006/relationships/settings" Target="settings.xml"/><Relationship Id="rId15" Type="http://schemas.openxmlformats.org/officeDocument/2006/relationships/hyperlink" Target="http://www.aae.wisc.edu/aae637/handouts/breusch_pagan_hetero_test_article.pdf" TargetMode="External"/><Relationship Id="rId23" Type="http://schemas.openxmlformats.org/officeDocument/2006/relationships/hyperlink" Target="http://dss.ucsd.edu/~hwhite/pub_files/hwcv-007.pdf" TargetMode="External"/><Relationship Id="rId28" Type="http://schemas.openxmlformats.org/officeDocument/2006/relationships/footer" Target="footer2.xml"/><Relationship Id="rId10" Type="http://schemas.openxmlformats.org/officeDocument/2006/relationships/hyperlink" Target="http://ideas.repec.org/p/cdl/ucscec/qt8c75z2pt.html" TargetMode="External"/><Relationship Id="rId19" Type="http://schemas.openxmlformats.org/officeDocument/2006/relationships/hyperlink" Target="http://ideas.repec.org/s/eee/jimfin.html" TargetMode="External"/><Relationship Id="rId4" Type="http://schemas.microsoft.com/office/2007/relationships/stylesWithEffects" Target="stylesWithEffects.xml"/><Relationship Id="rId9" Type="http://schemas.openxmlformats.org/officeDocument/2006/relationships/hyperlink" Target="http://www.federalreserve.gov" TargetMode="External"/><Relationship Id="rId14" Type="http://schemas.openxmlformats.org/officeDocument/2006/relationships/hyperlink" Target="https://ideas.repec.org/a/eee/asieco/v17y2006i2p363-373.html" TargetMode="External"/><Relationship Id="rId22" Type="http://schemas.openxmlformats.org/officeDocument/2006/relationships/hyperlink" Target="http://www.stata-journal.com/article.html?article=st015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5518-04F8-4183-BDCE-CF121D14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11942</Words>
  <Characters>64487</Characters>
  <DocSecurity>0</DocSecurity>
  <Lines>537</Lines>
  <Paragraphs>152</Paragraphs>
  <ScaleCrop>false</ScaleCrop>
  <HeadingPairs>
    <vt:vector size="2" baseType="variant">
      <vt:variant>
        <vt:lpstr>Título</vt:lpstr>
      </vt:variant>
      <vt:variant>
        <vt:i4>1</vt:i4>
      </vt:variant>
    </vt:vector>
  </HeadingPairs>
  <TitlesOfParts>
    <vt:vector size="1" baseType="lpstr">
      <vt:lpstr>Análise empírica dos determinantes dos fluxos de capitais financeiros para os países emergentes e em desenvolvimento</vt:lpstr>
    </vt:vector>
  </TitlesOfParts>
  <Company/>
  <LinksUpToDate>false</LinksUpToDate>
  <CharactersWithSpaces>76277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2016-04-04T12:08:00Z</dcterms:created>
  <dcterms:modified xsi:type="dcterms:W3CDTF">2016-04-04T12:08:00Z</dcterms:modified>
</cp:coreProperties>
</file>