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6031" w:rsidRPr="00AE62A3" w:rsidRDefault="00916031" w:rsidP="00916031">
      <w:pPr>
        <w:pBdr>
          <w:bottom w:val="single" w:sz="12" w:space="1" w:color="auto"/>
        </w:pBdr>
        <w:rPr>
          <w:rFonts w:ascii="Century Gothic" w:hAnsi="Century Gothic"/>
          <w:b/>
          <w:color w:val="000000"/>
          <w:sz w:val="28"/>
        </w:rPr>
      </w:pPr>
    </w:p>
    <w:p w:rsidR="00916031" w:rsidRDefault="00916031" w:rsidP="00916031">
      <w:pPr>
        <w:rPr>
          <w:rFonts w:ascii="Century Gothic" w:hAnsi="Century Gothic"/>
          <w:b/>
          <w:color w:val="000000"/>
          <w:sz w:val="28"/>
        </w:rPr>
      </w:pPr>
    </w:p>
    <w:p w:rsidR="00916031" w:rsidRPr="006C2E11" w:rsidRDefault="00916031" w:rsidP="00916031">
      <w:pPr>
        <w:jc w:val="right"/>
        <w:rPr>
          <w:rFonts w:ascii="Century Gothic" w:hAnsi="Century Gothic"/>
          <w:b/>
          <w:color w:val="000000"/>
          <w:sz w:val="28"/>
        </w:rPr>
      </w:pPr>
      <w:r w:rsidRPr="00916031">
        <w:rPr>
          <w:rFonts w:ascii="Century Gothic" w:hAnsi="Century Gothic"/>
          <w:b/>
          <w:color w:val="000000"/>
          <w:sz w:val="28"/>
        </w:rPr>
        <w:t>IMPACTOS DA SAZONALIDADE DA PRODUÇÃO SOBRE OS ESTOQUES E LUCRATIVIDADE: ANÁLISE DO SEGMENTO INDUSTRIAL BRASILEIRO</w:t>
      </w:r>
    </w:p>
    <w:p w:rsidR="00916031" w:rsidRPr="006C2E11" w:rsidRDefault="00916031" w:rsidP="00916031">
      <w:pPr>
        <w:pBdr>
          <w:bottom w:val="single" w:sz="12" w:space="1" w:color="auto"/>
        </w:pBdr>
        <w:spacing w:before="240"/>
        <w:jc w:val="right"/>
        <w:rPr>
          <w:rFonts w:ascii="Century Gothic" w:hAnsi="Century Gothic"/>
          <w:color w:val="000000"/>
        </w:rPr>
      </w:pPr>
      <w:r w:rsidRPr="00916031">
        <w:rPr>
          <w:rFonts w:ascii="Century Gothic" w:hAnsi="Century Gothic"/>
          <w:color w:val="000000"/>
        </w:rPr>
        <w:t>José Marcos Carvalho de Mesquita</w:t>
      </w:r>
      <w:r w:rsidRPr="006C2E11">
        <w:rPr>
          <w:rFonts w:ascii="Century Gothic" w:hAnsi="Century Gothic"/>
          <w:color w:val="000000"/>
        </w:rPr>
        <w:t xml:space="preserve"> </w:t>
      </w:r>
      <w:r w:rsidRPr="006C2E11">
        <w:rPr>
          <w:rStyle w:val="Refdenotaderodap"/>
          <w:rFonts w:ascii="Century Gothic" w:hAnsi="Century Gothic"/>
          <w:color w:val="000000"/>
        </w:rPr>
        <w:footnoteReference w:id="1"/>
      </w:r>
    </w:p>
    <w:p w:rsidR="00916031" w:rsidRPr="006C2E11" w:rsidRDefault="00916031" w:rsidP="00916031">
      <w:pPr>
        <w:pBdr>
          <w:bottom w:val="single" w:sz="12" w:space="1" w:color="auto"/>
        </w:pBdr>
        <w:spacing w:before="240"/>
        <w:jc w:val="right"/>
        <w:rPr>
          <w:rFonts w:ascii="Century Gothic" w:hAnsi="Century Gothic"/>
          <w:color w:val="000000"/>
        </w:rPr>
      </w:pPr>
      <w:r w:rsidRPr="00916031">
        <w:rPr>
          <w:rFonts w:ascii="Century Gothic" w:hAnsi="Century Gothic"/>
          <w:color w:val="000000"/>
        </w:rPr>
        <w:t>Henrique Cordeiro Martins</w:t>
      </w:r>
      <w:r w:rsidRPr="006C2E11">
        <w:rPr>
          <w:rFonts w:ascii="Century Gothic" w:hAnsi="Century Gothic"/>
          <w:color w:val="000000"/>
        </w:rPr>
        <w:t xml:space="preserve"> </w:t>
      </w:r>
      <w:r w:rsidRPr="006C2E11">
        <w:rPr>
          <w:rStyle w:val="Refdenotaderodap"/>
          <w:rFonts w:ascii="Century Gothic" w:hAnsi="Century Gothic"/>
          <w:color w:val="000000"/>
        </w:rPr>
        <w:footnoteReference w:id="2"/>
      </w:r>
    </w:p>
    <w:p w:rsidR="00916031" w:rsidRPr="006C2E11" w:rsidRDefault="00916031" w:rsidP="00916031">
      <w:pPr>
        <w:pBdr>
          <w:bottom w:val="single" w:sz="12" w:space="1" w:color="auto"/>
        </w:pBdr>
        <w:spacing w:before="240"/>
        <w:jc w:val="right"/>
        <w:rPr>
          <w:rFonts w:ascii="Century Gothic" w:hAnsi="Century Gothic"/>
          <w:color w:val="000000"/>
        </w:rPr>
      </w:pPr>
      <w:r w:rsidRPr="00916031">
        <w:rPr>
          <w:rFonts w:ascii="Century Gothic" w:hAnsi="Century Gothic"/>
          <w:color w:val="000000"/>
        </w:rPr>
        <w:t>Alexandre Teixeira Dias</w:t>
      </w:r>
      <w:r w:rsidRPr="006C2E11">
        <w:rPr>
          <w:rFonts w:ascii="Century Gothic" w:hAnsi="Century Gothic"/>
          <w:color w:val="000000"/>
        </w:rPr>
        <w:t xml:space="preserve"> </w:t>
      </w:r>
      <w:r w:rsidRPr="006C2E11">
        <w:rPr>
          <w:rStyle w:val="Refdenotaderodap"/>
          <w:rFonts w:ascii="Century Gothic" w:hAnsi="Century Gothic"/>
          <w:color w:val="000000"/>
        </w:rPr>
        <w:footnoteReference w:id="3"/>
      </w:r>
    </w:p>
    <w:p w:rsidR="00916031" w:rsidRDefault="00916031" w:rsidP="00916031">
      <w:pPr>
        <w:pBdr>
          <w:bottom w:val="single" w:sz="12" w:space="1" w:color="auto"/>
        </w:pBdr>
        <w:spacing w:before="240"/>
        <w:jc w:val="right"/>
        <w:rPr>
          <w:rFonts w:ascii="Century Gothic" w:hAnsi="Century Gothic"/>
          <w:color w:val="000000"/>
        </w:rPr>
      </w:pPr>
      <w:proofErr w:type="spellStart"/>
      <w:r w:rsidRPr="00916031">
        <w:rPr>
          <w:rFonts w:ascii="Century Gothic" w:hAnsi="Century Gothic"/>
          <w:color w:val="000000"/>
        </w:rPr>
        <w:t>Aril</w:t>
      </w:r>
      <w:proofErr w:type="spellEnd"/>
      <w:r w:rsidRPr="00916031">
        <w:rPr>
          <w:rFonts w:ascii="Century Gothic" w:hAnsi="Century Gothic"/>
          <w:color w:val="000000"/>
        </w:rPr>
        <w:t xml:space="preserve"> Rabelo</w:t>
      </w:r>
      <w:r w:rsidRPr="006C2E11">
        <w:rPr>
          <w:rFonts w:ascii="Century Gothic" w:hAnsi="Century Gothic"/>
          <w:color w:val="000000"/>
        </w:rPr>
        <w:t xml:space="preserve"> </w:t>
      </w:r>
      <w:r w:rsidRPr="006C2E11">
        <w:rPr>
          <w:rStyle w:val="Refdenotaderodap"/>
          <w:rFonts w:ascii="Century Gothic" w:hAnsi="Century Gothic"/>
          <w:color w:val="000000"/>
        </w:rPr>
        <w:footnoteReference w:id="4"/>
      </w:r>
    </w:p>
    <w:p w:rsidR="00916031" w:rsidRPr="00DA6C4F" w:rsidRDefault="00916031" w:rsidP="00916031">
      <w:pPr>
        <w:pBdr>
          <w:bottom w:val="single" w:sz="12" w:space="1" w:color="auto"/>
        </w:pBdr>
        <w:jc w:val="right"/>
        <w:rPr>
          <w:rFonts w:ascii="Century Gothic" w:hAnsi="Century Gothic"/>
          <w:color w:val="000000"/>
        </w:rPr>
      </w:pPr>
    </w:p>
    <w:p w:rsidR="0011339F" w:rsidRDefault="0011339F" w:rsidP="00916031">
      <w:pPr>
        <w:spacing w:after="120"/>
        <w:ind w:right="-1"/>
        <w:jc w:val="both"/>
        <w:rPr>
          <w:rFonts w:ascii="Century Gothic" w:hAnsi="Century Gothic"/>
          <w:bCs/>
          <w:color w:val="000000"/>
          <w:sz w:val="20"/>
        </w:rPr>
      </w:pPr>
      <w:r>
        <w:rPr>
          <w:rFonts w:ascii="Century Gothic" w:hAnsi="Century Gothic"/>
          <w:bCs/>
          <w:color w:val="000000"/>
          <w:sz w:val="20"/>
        </w:rPr>
        <w:t>▪ Artigo recebido em: 10/01/2015 ▪▪ Artigo aceito em: 12</w:t>
      </w:r>
      <w:r w:rsidR="00916031" w:rsidRPr="00C3450A">
        <w:rPr>
          <w:rFonts w:ascii="Century Gothic" w:hAnsi="Century Gothic"/>
          <w:bCs/>
          <w:color w:val="000000"/>
          <w:sz w:val="20"/>
        </w:rPr>
        <w:t>/09/2016 ▪▪▪ Segu</w:t>
      </w:r>
      <w:r>
        <w:rPr>
          <w:rFonts w:ascii="Century Gothic" w:hAnsi="Century Gothic"/>
          <w:bCs/>
          <w:color w:val="000000"/>
          <w:sz w:val="20"/>
        </w:rPr>
        <w:t>nda versão aceita em 17</w:t>
      </w:r>
      <w:r w:rsidR="00916031" w:rsidRPr="00C3450A">
        <w:rPr>
          <w:rFonts w:ascii="Century Gothic" w:hAnsi="Century Gothic"/>
          <w:bCs/>
          <w:color w:val="000000"/>
          <w:sz w:val="20"/>
        </w:rPr>
        <w:t>/09/2016</w:t>
      </w:r>
    </w:p>
    <w:p w:rsidR="0011339F" w:rsidRDefault="0011339F" w:rsidP="00916031">
      <w:pPr>
        <w:spacing w:after="120"/>
        <w:ind w:right="-1"/>
        <w:jc w:val="both"/>
        <w:rPr>
          <w:rFonts w:ascii="Century Gothic" w:hAnsi="Century Gothic"/>
          <w:bCs/>
          <w:color w:val="000000"/>
          <w:sz w:val="20"/>
        </w:rPr>
      </w:pPr>
    </w:p>
    <w:p w:rsidR="0011339F" w:rsidRPr="0011339F" w:rsidRDefault="0011339F" w:rsidP="0011339F">
      <w:pPr>
        <w:jc w:val="both"/>
        <w:rPr>
          <w:rFonts w:ascii="Century Gothic" w:hAnsi="Century Gothic"/>
          <w:b/>
        </w:rPr>
      </w:pPr>
      <w:r w:rsidRPr="0011339F">
        <w:rPr>
          <w:rFonts w:ascii="Century Gothic" w:hAnsi="Century Gothic"/>
          <w:b/>
        </w:rPr>
        <w:t>RESUMO</w:t>
      </w:r>
    </w:p>
    <w:p w:rsidR="0011339F" w:rsidRPr="0011339F" w:rsidRDefault="0011339F" w:rsidP="0011339F">
      <w:pPr>
        <w:jc w:val="both"/>
        <w:rPr>
          <w:rFonts w:ascii="Century Gothic" w:hAnsi="Century Gothic"/>
        </w:rPr>
      </w:pPr>
      <w:r w:rsidRPr="0011339F">
        <w:rPr>
          <w:rFonts w:ascii="Century Gothic" w:hAnsi="Century Gothic"/>
        </w:rPr>
        <w:t xml:space="preserve">A sazonalidade é um fenômeno que afeta diversas atividades econômicas e pode provocar incertezas sobre a gestão de estoques, tema que tem sido pouco abordado nas pesquisas acadêmicas. Com a presente pesquisa, buscou-se avaliar os efeitos de variações sazonais de produção sobre estoques e rentabilidade de empresas industriais. Conforme indicam os modelos teóricos, variações sazonais tendem a determinar maiores investimentos em ativos circulantes, especialmente estoques, podendo influenciar a rentabilidade das empresas. Para a consecução da pesquisa, inicialmente, foram selecionados oito setores de atividade econômica, quatro com e quatro sem flutuações sazonais de produção. Posteriormente, dados financeiros das empresas foram analisados com o recurso da ANOVA e constatou-se diferença significativa entre os estoques dos grupos. Após isso, por meio de análise de regressão, identificou-se que há relação negativa entre estoques e taxa de retorno, no caso das empresas com variações acentuadas de produção. </w:t>
      </w:r>
    </w:p>
    <w:p w:rsidR="0011339F" w:rsidRPr="0011339F" w:rsidRDefault="0011339F" w:rsidP="0011339F">
      <w:pPr>
        <w:jc w:val="both"/>
        <w:rPr>
          <w:rFonts w:ascii="Century Gothic" w:hAnsi="Century Gothic"/>
          <w:b/>
        </w:rPr>
      </w:pPr>
    </w:p>
    <w:p w:rsidR="0011339F" w:rsidRDefault="0011339F" w:rsidP="0011339F">
      <w:pPr>
        <w:jc w:val="both"/>
        <w:rPr>
          <w:rFonts w:ascii="Century Gothic" w:hAnsi="Century Gothic"/>
        </w:rPr>
      </w:pPr>
      <w:r>
        <w:rPr>
          <w:rFonts w:ascii="Century Gothic" w:hAnsi="Century Gothic"/>
          <w:b/>
        </w:rPr>
        <w:t>Palavras-C</w:t>
      </w:r>
      <w:r w:rsidRPr="0011339F">
        <w:rPr>
          <w:rFonts w:ascii="Century Gothic" w:hAnsi="Century Gothic"/>
          <w:b/>
        </w:rPr>
        <w:t>have</w:t>
      </w:r>
      <w:r>
        <w:rPr>
          <w:rFonts w:ascii="Century Gothic" w:hAnsi="Century Gothic"/>
        </w:rPr>
        <w:t>: Sazonalidade; Gestão de Estoques; ANOVA.</w:t>
      </w:r>
    </w:p>
    <w:p w:rsidR="0011339F" w:rsidRPr="0011339F" w:rsidRDefault="0011339F" w:rsidP="0011339F">
      <w:pPr>
        <w:jc w:val="both"/>
        <w:rPr>
          <w:rFonts w:ascii="Century Gothic" w:hAnsi="Century Gothic"/>
        </w:rPr>
      </w:pPr>
    </w:p>
    <w:p w:rsidR="0011339F" w:rsidRPr="0011339F" w:rsidRDefault="0011339F" w:rsidP="0011339F">
      <w:pPr>
        <w:jc w:val="right"/>
        <w:rPr>
          <w:rFonts w:ascii="Century Gothic" w:hAnsi="Century Gothic"/>
          <w:b/>
          <w:lang w:val="en-US"/>
        </w:rPr>
      </w:pPr>
      <w:r w:rsidRPr="0011339F">
        <w:rPr>
          <w:rFonts w:ascii="Century Gothic" w:hAnsi="Century Gothic"/>
          <w:b/>
          <w:lang w:val="en-US"/>
        </w:rPr>
        <w:lastRenderedPageBreak/>
        <w:t>THE IMPACT OF PRODUCTION SEASONALITY ON INVENTORY AND PROFITABILITY: ANALYSIS OF BRAZILIAN INDUSTRIAL SECTOR</w:t>
      </w:r>
    </w:p>
    <w:p w:rsidR="0011339F" w:rsidRPr="0011339F" w:rsidRDefault="0011339F" w:rsidP="0011339F">
      <w:pPr>
        <w:jc w:val="both"/>
        <w:rPr>
          <w:rFonts w:ascii="Century Gothic" w:hAnsi="Century Gothic"/>
          <w:lang w:val="en-US"/>
        </w:rPr>
      </w:pPr>
    </w:p>
    <w:p w:rsidR="0011339F" w:rsidRPr="0011339F" w:rsidRDefault="0011339F" w:rsidP="0011339F">
      <w:pPr>
        <w:jc w:val="both"/>
        <w:rPr>
          <w:rFonts w:ascii="Century Gothic" w:hAnsi="Century Gothic"/>
          <w:b/>
          <w:lang w:val="en-US"/>
        </w:rPr>
      </w:pPr>
      <w:r w:rsidRPr="0011339F">
        <w:rPr>
          <w:rFonts w:ascii="Century Gothic" w:hAnsi="Century Gothic"/>
          <w:b/>
          <w:lang w:val="en-US"/>
        </w:rPr>
        <w:t>ABSTRACT</w:t>
      </w:r>
    </w:p>
    <w:p w:rsidR="0011339F" w:rsidRPr="0011339F" w:rsidRDefault="0011339F" w:rsidP="0011339F">
      <w:pPr>
        <w:jc w:val="both"/>
        <w:rPr>
          <w:rFonts w:ascii="Century Gothic" w:hAnsi="Century Gothic"/>
          <w:lang w:val="en-US"/>
        </w:rPr>
      </w:pPr>
      <w:r w:rsidRPr="0011339F">
        <w:rPr>
          <w:rFonts w:ascii="Century Gothic" w:hAnsi="Century Gothic"/>
          <w:lang w:val="en-US"/>
        </w:rPr>
        <w:t xml:space="preserve">Seasonality is a phenomenon affecting various economic activities and can lead to uncertainty about inventory management, a topic that </w:t>
      </w:r>
      <w:proofErr w:type="gramStart"/>
      <w:r w:rsidRPr="0011339F">
        <w:rPr>
          <w:rFonts w:ascii="Century Gothic" w:hAnsi="Century Gothic"/>
          <w:lang w:val="en-US"/>
        </w:rPr>
        <w:t>has been little explored</w:t>
      </w:r>
      <w:proofErr w:type="gramEnd"/>
      <w:r w:rsidRPr="0011339F">
        <w:rPr>
          <w:rFonts w:ascii="Century Gothic" w:hAnsi="Century Gothic"/>
          <w:lang w:val="en-US"/>
        </w:rPr>
        <w:t xml:space="preserve"> in academic research. With this study, we sought to evaluate the effects of seasonal variation</w:t>
      </w:r>
      <w:r>
        <w:rPr>
          <w:rFonts w:ascii="Century Gothic" w:hAnsi="Century Gothic"/>
          <w:lang w:val="en-US"/>
        </w:rPr>
        <w:t xml:space="preserve">s in production on inventories </w:t>
      </w:r>
      <w:r w:rsidRPr="0011339F">
        <w:rPr>
          <w:rFonts w:ascii="Century Gothic" w:hAnsi="Century Gothic"/>
          <w:lang w:val="en-US"/>
        </w:rPr>
        <w:t xml:space="preserve">and profitability of industrial companies. As outlined in the theoretical models, seasonal variations tend to result in higher investments in current assets, especially inventories, which can influence the profitability of companies. To achieve the research, initially, eight economic sectors were selected, four with and four without seasonal fluctuations in production. Subsequently, company financial data </w:t>
      </w:r>
      <w:proofErr w:type="gramStart"/>
      <w:r w:rsidRPr="0011339F">
        <w:rPr>
          <w:rFonts w:ascii="Century Gothic" w:hAnsi="Century Gothic"/>
          <w:lang w:val="en-US"/>
        </w:rPr>
        <w:t>were analyzed</w:t>
      </w:r>
      <w:proofErr w:type="gramEnd"/>
      <w:r w:rsidRPr="0011339F">
        <w:rPr>
          <w:rFonts w:ascii="Century Gothic" w:hAnsi="Century Gothic"/>
          <w:lang w:val="en-US"/>
        </w:rPr>
        <w:t xml:space="preserve"> with the use of ANOVA and significant difference among the inventory groups were observed. After that, through regression analysis, we identified that there is negative correlation between stocks and rate of return for firms with strong variations in production.</w:t>
      </w:r>
    </w:p>
    <w:p w:rsidR="0011339F" w:rsidRPr="0011339F" w:rsidRDefault="0011339F" w:rsidP="0011339F">
      <w:pPr>
        <w:jc w:val="both"/>
        <w:rPr>
          <w:rFonts w:ascii="Century Gothic" w:hAnsi="Century Gothic"/>
          <w:lang w:val="en-US"/>
        </w:rPr>
      </w:pPr>
    </w:p>
    <w:p w:rsidR="0011339F" w:rsidRPr="0011339F" w:rsidRDefault="0011339F" w:rsidP="0011339F">
      <w:pPr>
        <w:jc w:val="both"/>
        <w:rPr>
          <w:rFonts w:ascii="Century Gothic" w:hAnsi="Century Gothic"/>
          <w:lang w:val="en-US"/>
        </w:rPr>
      </w:pPr>
      <w:r w:rsidRPr="0011339F">
        <w:rPr>
          <w:rFonts w:ascii="Century Gothic" w:hAnsi="Century Gothic"/>
          <w:b/>
          <w:lang w:val="en-US"/>
        </w:rPr>
        <w:t>Keywords</w:t>
      </w:r>
      <w:r>
        <w:rPr>
          <w:rFonts w:ascii="Century Gothic" w:hAnsi="Century Gothic"/>
          <w:lang w:val="en-US"/>
        </w:rPr>
        <w:t>: Seasonality;</w:t>
      </w:r>
      <w:r w:rsidRPr="0011339F">
        <w:rPr>
          <w:rFonts w:ascii="Century Gothic" w:hAnsi="Century Gothic"/>
          <w:lang w:val="en-US"/>
        </w:rPr>
        <w:t xml:space="preserve"> </w:t>
      </w:r>
      <w:r>
        <w:rPr>
          <w:rFonts w:ascii="Century Gothic" w:hAnsi="Century Gothic"/>
          <w:lang w:val="en-US"/>
        </w:rPr>
        <w:t>Inventory Management; ANOVA</w:t>
      </w:r>
      <w:r w:rsidRPr="0011339F">
        <w:rPr>
          <w:rFonts w:ascii="Century Gothic" w:hAnsi="Century Gothic"/>
          <w:lang w:val="en-US"/>
        </w:rPr>
        <w:t>.</w:t>
      </w:r>
    </w:p>
    <w:p w:rsidR="0011339F" w:rsidRPr="0011339F" w:rsidRDefault="0011339F" w:rsidP="0011339F">
      <w:pPr>
        <w:rPr>
          <w:rFonts w:ascii="Century Gothic" w:hAnsi="Century Gothic"/>
          <w:b/>
          <w:lang w:val="en-US"/>
        </w:rPr>
      </w:pPr>
    </w:p>
    <w:p w:rsidR="0011339F" w:rsidRPr="0011339F" w:rsidRDefault="0011339F" w:rsidP="00FB2FDB">
      <w:pPr>
        <w:rPr>
          <w:rFonts w:ascii="Century Gothic" w:hAnsi="Century Gothic"/>
          <w:b/>
          <w:lang w:val="en-US"/>
        </w:rPr>
      </w:pPr>
    </w:p>
    <w:p w:rsidR="00341349" w:rsidRPr="00FB2FDB" w:rsidRDefault="00FB2FDB" w:rsidP="00FB2FDB">
      <w:pPr>
        <w:rPr>
          <w:rFonts w:ascii="Century Gothic" w:hAnsi="Century Gothic"/>
          <w:b/>
        </w:rPr>
      </w:pPr>
      <w:r w:rsidRPr="00FB2FDB">
        <w:rPr>
          <w:rFonts w:ascii="Century Gothic" w:hAnsi="Century Gothic"/>
          <w:b/>
        </w:rPr>
        <w:t>1 INTRODUÇÃO</w:t>
      </w:r>
    </w:p>
    <w:p w:rsidR="00FB2FDB" w:rsidRPr="00FB2FDB" w:rsidRDefault="00FB2FDB" w:rsidP="00FB2FDB">
      <w:pPr>
        <w:ind w:firstLine="709"/>
        <w:rPr>
          <w:rFonts w:ascii="Century Gothic" w:hAnsi="Century Gothic"/>
          <w:b/>
        </w:rPr>
      </w:pPr>
    </w:p>
    <w:p w:rsidR="00341349" w:rsidRPr="00FB2FDB" w:rsidRDefault="00341349" w:rsidP="00FB2FDB">
      <w:pPr>
        <w:ind w:firstLine="709"/>
        <w:jc w:val="both"/>
        <w:rPr>
          <w:rFonts w:ascii="Century Gothic" w:hAnsi="Century Gothic"/>
        </w:rPr>
      </w:pPr>
      <w:r w:rsidRPr="00FB2FDB">
        <w:rPr>
          <w:rFonts w:ascii="Century Gothic" w:hAnsi="Century Gothic"/>
        </w:rPr>
        <w:t xml:space="preserve">Por muitos anos, a gestão da cadeia de suprimentos foi exercida de forma fragmentada por áreas específicas da organização, normalmente, transporte pela área de produção, estoques por marketing e pedidos por vendas, segundo afirmam </w:t>
      </w:r>
      <w:proofErr w:type="spellStart"/>
      <w:r w:rsidRPr="00FB2FDB">
        <w:rPr>
          <w:rFonts w:ascii="Century Gothic" w:hAnsi="Century Gothic"/>
        </w:rPr>
        <w:t>Bowersox</w:t>
      </w:r>
      <w:proofErr w:type="spellEnd"/>
      <w:r w:rsidRPr="00FB2FDB">
        <w:rPr>
          <w:rFonts w:ascii="Century Gothic" w:hAnsi="Century Gothic"/>
        </w:rPr>
        <w:t xml:space="preserve"> e </w:t>
      </w:r>
      <w:proofErr w:type="spellStart"/>
      <w:r w:rsidRPr="00FB2FDB">
        <w:rPr>
          <w:rFonts w:ascii="Century Gothic" w:hAnsi="Century Gothic"/>
        </w:rPr>
        <w:t>Closs</w:t>
      </w:r>
      <w:proofErr w:type="spellEnd"/>
      <w:r w:rsidRPr="00FB2FDB">
        <w:rPr>
          <w:rFonts w:ascii="Century Gothic" w:hAnsi="Century Gothic"/>
        </w:rPr>
        <w:t xml:space="preserve"> (20</w:t>
      </w:r>
      <w:r w:rsidR="0076021E">
        <w:rPr>
          <w:rFonts w:ascii="Century Gothic" w:hAnsi="Century Gothic"/>
        </w:rPr>
        <w:t>10</w:t>
      </w:r>
      <w:r w:rsidRPr="00FB2FDB">
        <w:rPr>
          <w:rFonts w:ascii="Century Gothic" w:hAnsi="Century Gothic"/>
        </w:rPr>
        <w:t xml:space="preserve">). </w:t>
      </w:r>
    </w:p>
    <w:p w:rsidR="00341349" w:rsidRPr="00FB2FDB" w:rsidRDefault="00341349" w:rsidP="00FB2FDB">
      <w:pPr>
        <w:ind w:firstLine="709"/>
        <w:jc w:val="both"/>
        <w:rPr>
          <w:rFonts w:ascii="Century Gothic" w:hAnsi="Century Gothic"/>
        </w:rPr>
      </w:pPr>
      <w:r w:rsidRPr="00FB2FDB">
        <w:rPr>
          <w:rFonts w:ascii="Century Gothic" w:hAnsi="Century Gothic"/>
        </w:rPr>
        <w:t>Devido às condições econômicas reinantes na época, em que a demanda superava a oferta, as maiores preocupações recaiam sobre a produção, o que era justificável no contexto de então.</w:t>
      </w:r>
    </w:p>
    <w:p w:rsidR="00341349" w:rsidRPr="00FB2FDB" w:rsidRDefault="00341349" w:rsidP="00FB2FDB">
      <w:pPr>
        <w:ind w:firstLine="709"/>
        <w:jc w:val="both"/>
        <w:rPr>
          <w:rFonts w:ascii="Century Gothic" w:hAnsi="Century Gothic"/>
        </w:rPr>
      </w:pPr>
      <w:r w:rsidRPr="00FB2FDB">
        <w:rPr>
          <w:rFonts w:ascii="Century Gothic" w:hAnsi="Century Gothic"/>
        </w:rPr>
        <w:t>Os autores afirmam ainda que, posteriormente, alguns fatores modificaram profundamente as condições econômicas, destacando-se: alterações no comportamento de compra dos consumidores; pressão por redução de custos na indústria, avanços na tecnologia de informação e adoção de conhecimentos logísticos desenvolvidos em organizações militares.</w:t>
      </w:r>
    </w:p>
    <w:p w:rsidR="00341349" w:rsidRPr="00FB2FDB" w:rsidRDefault="00341349" w:rsidP="00FB2FDB">
      <w:pPr>
        <w:ind w:firstLine="709"/>
        <w:jc w:val="both"/>
        <w:rPr>
          <w:rFonts w:ascii="Century Gothic" w:hAnsi="Century Gothic"/>
        </w:rPr>
      </w:pPr>
      <w:r w:rsidRPr="00FB2FDB">
        <w:rPr>
          <w:rFonts w:ascii="Century Gothic" w:hAnsi="Century Gothic"/>
        </w:rPr>
        <w:t>Diante disso, a logística assumiu papel relevante, tanto em termos gerenciais quanto em termos acadêmicos, e divers</w:t>
      </w:r>
      <w:r w:rsidR="00213776" w:rsidRPr="00FB2FDB">
        <w:rPr>
          <w:rFonts w:ascii="Century Gothic" w:hAnsi="Century Gothic"/>
        </w:rPr>
        <w:t>a</w:t>
      </w:r>
      <w:r w:rsidRPr="00FB2FDB">
        <w:rPr>
          <w:rFonts w:ascii="Century Gothic" w:hAnsi="Century Gothic"/>
        </w:rPr>
        <w:t xml:space="preserve">s </w:t>
      </w:r>
      <w:r w:rsidR="000915E4" w:rsidRPr="00FB2FDB">
        <w:rPr>
          <w:rFonts w:ascii="Century Gothic" w:hAnsi="Century Gothic"/>
        </w:rPr>
        <w:t>ferramentas gerenciais foram desenvolvidos, entre ela</w:t>
      </w:r>
      <w:r w:rsidRPr="00FB2FDB">
        <w:rPr>
          <w:rFonts w:ascii="Century Gothic" w:hAnsi="Century Gothic"/>
        </w:rPr>
        <w:t>s: MRP (M</w:t>
      </w:r>
      <w:r w:rsidR="000915E4" w:rsidRPr="00FB2FDB">
        <w:rPr>
          <w:rFonts w:ascii="Century Gothic" w:hAnsi="Century Gothic"/>
        </w:rPr>
        <w:t>a</w:t>
      </w:r>
      <w:r w:rsidRPr="00FB2FDB">
        <w:rPr>
          <w:rFonts w:ascii="Century Gothic" w:hAnsi="Century Gothic"/>
          <w:i/>
        </w:rPr>
        <w:t xml:space="preserve">terial </w:t>
      </w:r>
      <w:proofErr w:type="spellStart"/>
      <w:r w:rsidRPr="00FB2FDB">
        <w:rPr>
          <w:rFonts w:ascii="Century Gothic" w:hAnsi="Century Gothic"/>
          <w:i/>
        </w:rPr>
        <w:t>R</w:t>
      </w:r>
      <w:r w:rsidR="000915E4" w:rsidRPr="00FB2FDB">
        <w:rPr>
          <w:rFonts w:ascii="Century Gothic" w:hAnsi="Century Gothic"/>
          <w:i/>
        </w:rPr>
        <w:t>e</w:t>
      </w:r>
      <w:r w:rsidRPr="00FB2FDB">
        <w:rPr>
          <w:rFonts w:ascii="Century Gothic" w:hAnsi="Century Gothic"/>
          <w:i/>
        </w:rPr>
        <w:t>quirement</w:t>
      </w:r>
      <w:proofErr w:type="spellEnd"/>
      <w:r w:rsidRPr="00FB2FDB">
        <w:rPr>
          <w:rFonts w:ascii="Century Gothic" w:hAnsi="Century Gothic"/>
          <w:i/>
        </w:rPr>
        <w:t xml:space="preserve"> P</w:t>
      </w:r>
      <w:r w:rsidR="000915E4" w:rsidRPr="00FB2FDB">
        <w:rPr>
          <w:rFonts w:ascii="Century Gothic" w:hAnsi="Century Gothic"/>
          <w:i/>
        </w:rPr>
        <w:t>l</w:t>
      </w:r>
      <w:r w:rsidRPr="00FB2FDB">
        <w:rPr>
          <w:rFonts w:ascii="Century Gothic" w:hAnsi="Century Gothic"/>
          <w:i/>
        </w:rPr>
        <w:t>anning</w:t>
      </w:r>
      <w:r w:rsidRPr="00FB2FDB">
        <w:rPr>
          <w:rFonts w:ascii="Century Gothic" w:hAnsi="Century Gothic"/>
        </w:rPr>
        <w:t xml:space="preserve">), </w:t>
      </w:r>
      <w:proofErr w:type="spellStart"/>
      <w:r w:rsidRPr="00FB2FDB">
        <w:rPr>
          <w:rFonts w:ascii="Century Gothic" w:hAnsi="Century Gothic"/>
        </w:rPr>
        <w:t>Kanban</w:t>
      </w:r>
      <w:proofErr w:type="spellEnd"/>
      <w:r w:rsidRPr="00FB2FDB">
        <w:rPr>
          <w:rFonts w:ascii="Century Gothic" w:hAnsi="Century Gothic"/>
        </w:rPr>
        <w:t xml:space="preserve">, </w:t>
      </w:r>
      <w:r w:rsidRPr="00FB2FDB">
        <w:rPr>
          <w:rFonts w:ascii="Century Gothic" w:hAnsi="Century Gothic"/>
          <w:i/>
        </w:rPr>
        <w:t>Just in Time</w:t>
      </w:r>
      <w:r w:rsidRPr="00FB2FDB">
        <w:rPr>
          <w:rFonts w:ascii="Century Gothic" w:hAnsi="Century Gothic"/>
        </w:rPr>
        <w:t>, ECR (</w:t>
      </w:r>
      <w:proofErr w:type="spellStart"/>
      <w:r w:rsidRPr="0011339F">
        <w:rPr>
          <w:rFonts w:ascii="Century Gothic" w:hAnsi="Century Gothic"/>
          <w:i/>
        </w:rPr>
        <w:t>Eff</w:t>
      </w:r>
      <w:r w:rsidRPr="00FB2FDB">
        <w:rPr>
          <w:rFonts w:ascii="Century Gothic" w:hAnsi="Century Gothic"/>
          <w:i/>
        </w:rPr>
        <w:t>icient</w:t>
      </w:r>
      <w:proofErr w:type="spellEnd"/>
      <w:r w:rsidRPr="00FB2FDB">
        <w:rPr>
          <w:rFonts w:ascii="Century Gothic" w:hAnsi="Century Gothic"/>
          <w:i/>
        </w:rPr>
        <w:t xml:space="preserve"> </w:t>
      </w:r>
      <w:proofErr w:type="spellStart"/>
      <w:r w:rsidRPr="00FB2FDB">
        <w:rPr>
          <w:rFonts w:ascii="Century Gothic" w:hAnsi="Century Gothic"/>
          <w:i/>
        </w:rPr>
        <w:t>Consumer</w:t>
      </w:r>
      <w:proofErr w:type="spellEnd"/>
      <w:r w:rsidRPr="00FB2FDB">
        <w:rPr>
          <w:rFonts w:ascii="Century Gothic" w:hAnsi="Century Gothic"/>
          <w:i/>
        </w:rPr>
        <w:t xml:space="preserve"> Response</w:t>
      </w:r>
      <w:r w:rsidRPr="00FB2FDB">
        <w:rPr>
          <w:rFonts w:ascii="Century Gothic" w:hAnsi="Century Gothic"/>
        </w:rPr>
        <w:t xml:space="preserve">). </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Nesse interim, o gerenciamento de estoques assume considerável importância, devido à sua relevância em termos operacionais e financeiros. Diversas ferramentas foram elaboradas visando </w:t>
      </w:r>
      <w:r w:rsidR="000F4E1E" w:rsidRPr="00FB2FDB">
        <w:rPr>
          <w:rFonts w:ascii="Century Gothic" w:hAnsi="Century Gothic"/>
        </w:rPr>
        <w:t xml:space="preserve">a </w:t>
      </w:r>
      <w:r w:rsidRPr="00FB2FDB">
        <w:rPr>
          <w:rFonts w:ascii="Century Gothic" w:hAnsi="Century Gothic"/>
        </w:rPr>
        <w:t>adequar o nível de estoques às necessidades diversas das organizações, conforme mostram Saab Junior e Corrêa (2008).</w:t>
      </w:r>
    </w:p>
    <w:p w:rsidR="00341349" w:rsidRPr="00FB2FDB" w:rsidRDefault="00341349" w:rsidP="00FB2FDB">
      <w:pPr>
        <w:ind w:firstLine="709"/>
        <w:jc w:val="both"/>
        <w:rPr>
          <w:rFonts w:ascii="Century Gothic" w:hAnsi="Century Gothic"/>
        </w:rPr>
      </w:pPr>
      <w:r w:rsidRPr="00FB2FDB">
        <w:rPr>
          <w:rFonts w:ascii="Century Gothic" w:hAnsi="Century Gothic"/>
        </w:rPr>
        <w:lastRenderedPageBreak/>
        <w:t>Muitas dessas ferramentas ocupam-se da gestão de estoques dentro da cadeia, ou mais especificamente, qual o membro da cadeia de suprimento deverá ser o responsável pela organização do fluxo de distribuição.</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Outro aspecto relevante na gestão de estoques, normalmente negligenciado na literatura, refere-se aos impactos que a sazonalidade das atividades impõe sobre o volume adequado de estoques. </w:t>
      </w:r>
    </w:p>
    <w:p w:rsidR="00341349" w:rsidRPr="00FB2FDB" w:rsidRDefault="00341349" w:rsidP="00FB2FDB">
      <w:pPr>
        <w:ind w:firstLine="709"/>
        <w:jc w:val="both"/>
        <w:rPr>
          <w:rFonts w:ascii="Century Gothic" w:hAnsi="Century Gothic"/>
        </w:rPr>
      </w:pPr>
      <w:r w:rsidRPr="00FB2FDB">
        <w:rPr>
          <w:rFonts w:ascii="Century Gothic" w:hAnsi="Century Gothic"/>
        </w:rPr>
        <w:t>Conforme Mesquita (2008)</w:t>
      </w:r>
      <w:r w:rsidR="008A4607" w:rsidRPr="00FB2FDB">
        <w:rPr>
          <w:rFonts w:ascii="Century Gothic" w:hAnsi="Century Gothic"/>
        </w:rPr>
        <w:t xml:space="preserve"> e Mesquita e Martins (2011)</w:t>
      </w:r>
      <w:r w:rsidRPr="00FB2FDB">
        <w:rPr>
          <w:rFonts w:ascii="Century Gothic" w:hAnsi="Century Gothic"/>
        </w:rPr>
        <w:t xml:space="preserve">, sazonalidade, ou </w:t>
      </w:r>
      <w:proofErr w:type="spellStart"/>
      <w:r w:rsidRPr="00FB2FDB">
        <w:rPr>
          <w:rFonts w:ascii="Century Gothic" w:hAnsi="Century Gothic"/>
        </w:rPr>
        <w:t>estacionalidade</w:t>
      </w:r>
      <w:proofErr w:type="spellEnd"/>
      <w:r w:rsidRPr="00FB2FDB">
        <w:rPr>
          <w:rFonts w:ascii="Century Gothic" w:hAnsi="Century Gothic"/>
        </w:rPr>
        <w:t>, em sentido estreito, é uma qualidade que se verifica em uma estação. Em sentido amplo, corresponde a padrões uniformes de desempenho ao longo de determinados períodos, relacionados às estações climáticas.</w:t>
      </w:r>
    </w:p>
    <w:p w:rsidR="00341349" w:rsidRPr="00FB2FDB" w:rsidRDefault="00341349" w:rsidP="0011339F">
      <w:pPr>
        <w:ind w:firstLine="709"/>
        <w:jc w:val="both"/>
        <w:rPr>
          <w:rFonts w:ascii="Century Gothic" w:hAnsi="Century Gothic"/>
        </w:rPr>
      </w:pPr>
      <w:r w:rsidRPr="00FB2FDB">
        <w:rPr>
          <w:rFonts w:ascii="Century Gothic" w:hAnsi="Century Gothic"/>
        </w:rPr>
        <w:t xml:space="preserve">Diversas atividades possuem padrão sazonal, destacando-se: agricultura, pesca, turismo, construção civil, alguns ramos do comércio varejista, entre outras. No caso específico da agricultura, </w:t>
      </w:r>
      <w:r w:rsidR="000915E4" w:rsidRPr="00FB2FDB">
        <w:rPr>
          <w:rFonts w:ascii="Century Gothic" w:hAnsi="Century Gothic"/>
        </w:rPr>
        <w:t xml:space="preserve">à guisa </w:t>
      </w:r>
      <w:r w:rsidRPr="00FB2FDB">
        <w:rPr>
          <w:rFonts w:ascii="Century Gothic" w:hAnsi="Century Gothic"/>
        </w:rPr>
        <w:t>de</w:t>
      </w:r>
      <w:r w:rsidR="000915E4" w:rsidRPr="00FB2FDB">
        <w:rPr>
          <w:rFonts w:ascii="Century Gothic" w:hAnsi="Century Gothic"/>
        </w:rPr>
        <w:t xml:space="preserve"> </w:t>
      </w:r>
      <w:r w:rsidRPr="00FB2FDB">
        <w:rPr>
          <w:rFonts w:ascii="Century Gothic" w:hAnsi="Century Gothic"/>
        </w:rPr>
        <w:t xml:space="preserve">ilustração, o fenômeno ocorre da seguinte maneira: dada uma estação qualquer, uma determinada tarefa deve ser desempenhada, por exemplo o plantio; em outra estação, outra atividade será preponderante, por exemplo, a colheita. </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Em síntese, todos os produtores rurais envolvidos com aquela cultura deverão seguir as estações para cumprir com o ciclo produtivo. Nesse caso específico, a concentração da colheita em um só período irá determinar excesso de oferta de produto e a concentração do plantio irá determinar excesso de demanda por matérias primas e outros insumos de produção. </w:t>
      </w:r>
    </w:p>
    <w:p w:rsidR="00341349" w:rsidRPr="00FB2FDB" w:rsidRDefault="00341349" w:rsidP="00FB2FDB">
      <w:pPr>
        <w:ind w:firstLine="709"/>
        <w:jc w:val="both"/>
        <w:rPr>
          <w:rFonts w:ascii="Century Gothic" w:hAnsi="Century Gothic"/>
        </w:rPr>
      </w:pPr>
      <w:r w:rsidRPr="00FB2FDB">
        <w:rPr>
          <w:rFonts w:ascii="Century Gothic" w:hAnsi="Century Gothic"/>
        </w:rPr>
        <w:t>Com relação ao comércio varejista, Mesquita (2008)</w:t>
      </w:r>
      <w:r w:rsidR="008A4607" w:rsidRPr="00FB2FDB">
        <w:rPr>
          <w:rFonts w:ascii="Century Gothic" w:hAnsi="Century Gothic"/>
        </w:rPr>
        <w:t xml:space="preserve"> e Mesquita e Martins (2011)</w:t>
      </w:r>
      <w:r w:rsidRPr="00FB2FDB">
        <w:rPr>
          <w:rFonts w:ascii="Century Gothic" w:hAnsi="Century Gothic"/>
        </w:rPr>
        <w:t>, utilizando metodologia proposta por Hoffmann (1991), identific</w:t>
      </w:r>
      <w:r w:rsidR="008A4607" w:rsidRPr="00FB2FDB">
        <w:rPr>
          <w:rFonts w:ascii="Century Gothic" w:hAnsi="Century Gothic"/>
        </w:rPr>
        <w:t>aram</w:t>
      </w:r>
      <w:r w:rsidRPr="00FB2FDB">
        <w:rPr>
          <w:rFonts w:ascii="Century Gothic" w:hAnsi="Century Gothic"/>
        </w:rPr>
        <w:t xml:space="preserve"> padrões sazonais de vendas para alguns ramos, como o de móveis e eletro eletrônicos e o de tecidos e vestuário, ao passo que o setor de supermercados mostrou padrão uniforme de vendas ao longo do ano. </w:t>
      </w:r>
    </w:p>
    <w:p w:rsidR="00341349" w:rsidRPr="00FB2FDB" w:rsidRDefault="00341349" w:rsidP="00FB2FDB">
      <w:pPr>
        <w:ind w:firstLine="709"/>
        <w:jc w:val="both"/>
        <w:rPr>
          <w:rFonts w:ascii="Century Gothic" w:hAnsi="Century Gothic"/>
        </w:rPr>
      </w:pPr>
      <w:r w:rsidRPr="00FB2FDB">
        <w:rPr>
          <w:rFonts w:ascii="Century Gothic" w:hAnsi="Century Gothic"/>
        </w:rPr>
        <w:t>Diante dessa constatação, alguns aspectos gerenciais ganham complexidade, na medida em que a previsão de crescimento de vendas em períodos específicos acarretará maiores investimentos em ativos circulantes, incluindo estoques, além de ampliações na estrutura organizacional, com a contratação de novos colaboradores, ampliação das instalações, entre outras.</w:t>
      </w:r>
    </w:p>
    <w:p w:rsidR="00341349" w:rsidRPr="00FB2FDB" w:rsidRDefault="00341349" w:rsidP="00FB2FDB">
      <w:pPr>
        <w:ind w:firstLine="709"/>
        <w:jc w:val="both"/>
        <w:rPr>
          <w:rFonts w:ascii="Century Gothic" w:hAnsi="Century Gothic"/>
        </w:rPr>
      </w:pPr>
      <w:r w:rsidRPr="00FB2FDB">
        <w:rPr>
          <w:rFonts w:ascii="Century Gothic" w:hAnsi="Century Gothic"/>
        </w:rPr>
        <w:t>Por outro lado, previsões são sempre carregadas de incertezas e, em muitas ocasiões, as vendas não se concretizam conforme previsto, induzindo os agentes a arcarem com déficits ou redução de lucros.</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Nesse contexto, torna-se premente investigar qual o impacto de flutuações sazonais de vendas sobre a performance das organizações. </w:t>
      </w:r>
    </w:p>
    <w:p w:rsidR="002F5A35" w:rsidRPr="00FB2FDB" w:rsidRDefault="00341349" w:rsidP="00FB2FDB">
      <w:pPr>
        <w:ind w:firstLine="709"/>
        <w:jc w:val="both"/>
        <w:rPr>
          <w:rFonts w:ascii="Century Gothic" w:hAnsi="Century Gothic"/>
        </w:rPr>
      </w:pPr>
      <w:r w:rsidRPr="00FB2FDB">
        <w:rPr>
          <w:rFonts w:ascii="Century Gothic" w:hAnsi="Century Gothic"/>
        </w:rPr>
        <w:t>Sendo assim, com a presente pesquisa objetiva-se avaliar qual o impacto da sazonalidade das vendas sobre o volume de estoques e sobre a rentabilidade das organizações que atuam no segmento industrial</w:t>
      </w:r>
      <w:r w:rsidR="000915E4" w:rsidRPr="00FB2FDB">
        <w:rPr>
          <w:rFonts w:ascii="Century Gothic" w:hAnsi="Century Gothic"/>
        </w:rPr>
        <w:t xml:space="preserve">. </w:t>
      </w:r>
    </w:p>
    <w:p w:rsidR="00341349" w:rsidRPr="00FB2FDB" w:rsidRDefault="000915E4" w:rsidP="00FB2FDB">
      <w:pPr>
        <w:ind w:firstLine="709"/>
        <w:jc w:val="both"/>
        <w:rPr>
          <w:rFonts w:ascii="Century Gothic" w:hAnsi="Century Gothic"/>
        </w:rPr>
      </w:pPr>
      <w:r w:rsidRPr="00FB2FDB">
        <w:rPr>
          <w:rFonts w:ascii="Century Gothic" w:hAnsi="Century Gothic"/>
        </w:rPr>
        <w:t>Justifica essa pesquisa a pequena atenção que a literatura dispensa ao tema, não sendo abundantes artigos relacionados aos impactos da sazonalidade sobre aspectos operacionais. São mais comuns artigos avaliando a relação entre estoques e ciclo</w:t>
      </w:r>
      <w:r w:rsidR="002F5A35" w:rsidRPr="00FB2FDB">
        <w:rPr>
          <w:rFonts w:ascii="Century Gothic" w:hAnsi="Century Gothic"/>
        </w:rPr>
        <w:t>s econômicos, porém tal perspectiva não se coaduna com os propósitos da presente pesquisa.</w:t>
      </w:r>
    </w:p>
    <w:p w:rsidR="00341349" w:rsidRPr="00FB2FDB" w:rsidRDefault="00341349" w:rsidP="00FB2FDB">
      <w:pPr>
        <w:ind w:firstLine="709"/>
        <w:jc w:val="both"/>
        <w:rPr>
          <w:rFonts w:ascii="Century Gothic" w:hAnsi="Century Gothic"/>
          <w:b/>
        </w:rPr>
      </w:pPr>
    </w:p>
    <w:p w:rsidR="00341349" w:rsidRPr="00FB2FDB" w:rsidRDefault="00FB2FDB" w:rsidP="00FB2FDB">
      <w:pPr>
        <w:jc w:val="both"/>
        <w:rPr>
          <w:rFonts w:ascii="Century Gothic" w:hAnsi="Century Gothic"/>
          <w:b/>
        </w:rPr>
      </w:pPr>
      <w:r w:rsidRPr="00FB2FDB">
        <w:rPr>
          <w:rFonts w:ascii="Century Gothic" w:hAnsi="Century Gothic"/>
          <w:b/>
        </w:rPr>
        <w:t>2 REFERENCIAL TEÓRICO</w:t>
      </w:r>
    </w:p>
    <w:p w:rsidR="00341349" w:rsidRPr="00FB2FDB" w:rsidRDefault="00341349" w:rsidP="00FB2FDB">
      <w:pPr>
        <w:ind w:firstLine="709"/>
        <w:jc w:val="both"/>
        <w:rPr>
          <w:rFonts w:ascii="Century Gothic" w:hAnsi="Century Gothic"/>
        </w:rPr>
      </w:pPr>
    </w:p>
    <w:p w:rsidR="00341349" w:rsidRPr="00FB2FDB" w:rsidRDefault="00341349" w:rsidP="00FB2FDB">
      <w:pPr>
        <w:jc w:val="both"/>
        <w:rPr>
          <w:rFonts w:ascii="Century Gothic" w:hAnsi="Century Gothic"/>
          <w:b/>
        </w:rPr>
      </w:pPr>
      <w:r w:rsidRPr="00FB2FDB">
        <w:rPr>
          <w:rFonts w:ascii="Century Gothic" w:hAnsi="Century Gothic"/>
          <w:b/>
        </w:rPr>
        <w:t>2.1 Sazonalidade</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 xml:space="preserve">O tema sazonalidade foi amplamente discutido no âmbito da economia agrícola, atividade por excelência dependente das estações climáticas. Segundo Brandt (1980) e Reis (1998), observam-se tendências sazonais de oferta, dadas as características biológicas das plantas, com reflexos nas variações de preços. Mais especificamente, durante o período de safra, a oferta é abundante e os preços baixos, ocorrendo o contrário na entressafra, com oferta restrita e preços elevados, fenômeno que se estende a todos os varejos de hortigranjeiros sendo, portanto, bastante conhecido das donas-de-casa.  </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Muito embora seja marcante na agropecuária, outros setores também padecem do mesmo problema, distinguindo-se a origem do fenômeno, agora provocado por crescimento da demanda. Podem ser citados como exemplos nesse caso: hotelaria e outros serviços em cidades universitárias e turísticas, e a indústria da moda, que chega a realizar o lançamento de duas coleções em cada ano. </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Existem também casos em que as condições climáticas impedem a realização das tarefas, destacando-se a construção pesada, e outros, como a pesca, que deve respeitar o ciclo reprodutivo das espécies. </w:t>
      </w:r>
    </w:p>
    <w:p w:rsidR="00341349" w:rsidRPr="00FB2FDB" w:rsidRDefault="00341349" w:rsidP="00FB2FDB">
      <w:pPr>
        <w:ind w:firstLine="709"/>
        <w:jc w:val="both"/>
        <w:rPr>
          <w:rFonts w:ascii="Century Gothic" w:hAnsi="Century Gothic"/>
        </w:rPr>
      </w:pPr>
      <w:r w:rsidRPr="00FB2FDB">
        <w:rPr>
          <w:rFonts w:ascii="Century Gothic" w:hAnsi="Century Gothic"/>
        </w:rPr>
        <w:t>A sazonalidade das vendas não se mostra muito discutida na literatura específica. São raros os textos referentes à administração de vendas que abordam o tema, enaltecendo suas implicações sobre o desempenho da organização. A esse respeito, pouco se encontra, sendo mais comum a localização de trabalhos que apresentem métodos para realizar previsões de vendas, incluindo tendências sazonais.</w:t>
      </w:r>
    </w:p>
    <w:p w:rsidR="00341349" w:rsidRPr="00FB2FDB" w:rsidRDefault="00341349" w:rsidP="00FB2FDB">
      <w:pPr>
        <w:ind w:firstLine="709"/>
        <w:jc w:val="both"/>
        <w:rPr>
          <w:rFonts w:ascii="Century Gothic" w:hAnsi="Century Gothic"/>
        </w:rPr>
      </w:pPr>
      <w:proofErr w:type="spellStart"/>
      <w:r w:rsidRPr="00FB2FDB">
        <w:rPr>
          <w:rFonts w:ascii="Century Gothic" w:hAnsi="Century Gothic"/>
        </w:rPr>
        <w:t>Len</w:t>
      </w:r>
      <w:proofErr w:type="spellEnd"/>
      <w:r w:rsidRPr="00FB2FDB">
        <w:rPr>
          <w:rFonts w:ascii="Century Gothic" w:hAnsi="Century Gothic"/>
        </w:rPr>
        <w:t xml:space="preserve"> (1993) afirma que existem três componentes atuando sobre a tendência de comercialização, que devem ser analisados quando da realização da previsão de vendas: 1) tendência secular, aquela que representa o movimento, crescente ou decrescente, ao longo do tempo; 2) tendência sazonal: que mostra as variações ao longo das estações e; 3) variações aleatórias: imprevisíveis e, portanto, sem nenhum padrão pré-estabelecido. O autor sugere que as previsões devem ser feitas por meio de métodos de média móvel, os quais permitem que se isolem os efeitos de flutuações sazonais.</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No mesmo sentido, Arnold (1999) afirma que o cálculo de índices estacionais permite prever com menor erro a demanda </w:t>
      </w:r>
      <w:proofErr w:type="spellStart"/>
      <w:r w:rsidRPr="00FB2FDB">
        <w:rPr>
          <w:rFonts w:ascii="Century Gothic" w:hAnsi="Century Gothic"/>
        </w:rPr>
        <w:t>desestacionalizada</w:t>
      </w:r>
      <w:proofErr w:type="spellEnd"/>
      <w:r w:rsidRPr="00FB2FDB">
        <w:rPr>
          <w:rFonts w:ascii="Century Gothic" w:hAnsi="Century Gothic"/>
        </w:rPr>
        <w:t xml:space="preserve"> para o respectivo período. O índice é encontrado dividindo-se a demanda do período específico pela demanda média do período integral. Posteriormente, divide-se a demanda esperada pelo índice mensal encontrado. Levy e </w:t>
      </w:r>
      <w:proofErr w:type="spellStart"/>
      <w:r w:rsidRPr="00FB2FDB">
        <w:rPr>
          <w:rFonts w:ascii="Century Gothic" w:hAnsi="Century Gothic"/>
        </w:rPr>
        <w:t>Weitz</w:t>
      </w:r>
      <w:proofErr w:type="spellEnd"/>
      <w:r w:rsidRPr="00FB2FDB">
        <w:rPr>
          <w:rFonts w:ascii="Century Gothic" w:hAnsi="Century Gothic"/>
        </w:rPr>
        <w:t xml:space="preserve"> (2000) sugerem procedimento semelhante, por meio do cálculo das porcentagens médias que seriam vendidas em cada estação, ao invés de índices estacionais. </w:t>
      </w:r>
    </w:p>
    <w:p w:rsidR="00341349" w:rsidRPr="00FB2FDB" w:rsidRDefault="00341349" w:rsidP="00FB2FDB">
      <w:pPr>
        <w:ind w:firstLine="709"/>
        <w:jc w:val="both"/>
        <w:rPr>
          <w:rFonts w:ascii="Century Gothic" w:hAnsi="Century Gothic"/>
        </w:rPr>
      </w:pPr>
      <w:r w:rsidRPr="00FB2FDB">
        <w:rPr>
          <w:rFonts w:ascii="Century Gothic" w:hAnsi="Century Gothic"/>
        </w:rPr>
        <w:lastRenderedPageBreak/>
        <w:t xml:space="preserve">De qualquer forma, as implicações da sazonalidade podem ser descritas da seguinte maneira: em alguns períodos, independentemente do fato gerador, ocorrem crescimentos substanciais de vendas, que são até previsíveis em termos de sua ocorrência, mas não em sua real magnitude. A grande dificuldade </w:t>
      </w:r>
      <w:r w:rsidR="0011339F" w:rsidRPr="00FB2FDB">
        <w:rPr>
          <w:rFonts w:ascii="Century Gothic" w:hAnsi="Century Gothic"/>
        </w:rPr>
        <w:t>consequente</w:t>
      </w:r>
      <w:r w:rsidRPr="00FB2FDB">
        <w:rPr>
          <w:rFonts w:ascii="Century Gothic" w:hAnsi="Century Gothic"/>
        </w:rPr>
        <w:t xml:space="preserve"> relaciona-se à necessidade inicial de ampliar alguns itens da estrutura empresarial, como estoques, área física, vendedores, meios de comunicação, promoção, entre outros. Ou seja, ocorre o investimento para atender a um possível crescimento de demanda. Contudo, como o crescimento do volume de vendas não pode ser previsto com precisão, assim como os preços, incorre-se automaticamente em elevado risco. Em muitos casos, os produtos são específicos para aquela ocasião, não havendo oportunidades apropriadas para desova dos estoques fora do período em questão, o que exige a implantação de políticas promocionais, muitas vezes com vendas a preços reduzidos, que nem sempre são capazes de solucionar o problema por completo.</w:t>
      </w:r>
    </w:p>
    <w:p w:rsidR="00610CE6" w:rsidRPr="00FB2FDB" w:rsidRDefault="00341349" w:rsidP="00FB2FDB">
      <w:pPr>
        <w:ind w:firstLine="709"/>
        <w:jc w:val="both"/>
        <w:rPr>
          <w:rFonts w:ascii="Century Gothic" w:hAnsi="Century Gothic"/>
        </w:rPr>
      </w:pPr>
      <w:r w:rsidRPr="00FB2FDB">
        <w:rPr>
          <w:rFonts w:ascii="Century Gothic" w:hAnsi="Century Gothic"/>
        </w:rPr>
        <w:t>A esse respeito, Motta (1986) afirma que a previsão de vendas é uma das pedras angulares do planejamento na administração mercadológica, pois muitas decisões dependem de tal estimativa, como: programação da produção, compra de matéria-prima, despesas de propaganda, gastos com vendas e investimento em máquinas e equipamentos, o que determina que deva ser feita com a maior exatidão possível.</w:t>
      </w:r>
    </w:p>
    <w:p w:rsidR="00D21749" w:rsidRPr="00FB2FDB" w:rsidRDefault="00610CE6" w:rsidP="00FB2FDB">
      <w:pPr>
        <w:ind w:firstLine="709"/>
        <w:jc w:val="both"/>
        <w:rPr>
          <w:rFonts w:ascii="Century Gothic" w:hAnsi="Century Gothic"/>
        </w:rPr>
      </w:pPr>
      <w:r w:rsidRPr="00FB2FDB">
        <w:rPr>
          <w:rFonts w:ascii="Century Gothic" w:hAnsi="Century Gothic"/>
        </w:rPr>
        <w:t xml:space="preserve">Ainda abordando sazonalidade das vendas, </w:t>
      </w:r>
      <w:proofErr w:type="spellStart"/>
      <w:r w:rsidRPr="00FB2FDB">
        <w:rPr>
          <w:rFonts w:ascii="Century Gothic" w:hAnsi="Century Gothic"/>
        </w:rPr>
        <w:t>Banerjee</w:t>
      </w:r>
      <w:proofErr w:type="spellEnd"/>
      <w:r w:rsidRPr="00FB2FDB">
        <w:rPr>
          <w:rFonts w:ascii="Century Gothic" w:hAnsi="Century Gothic"/>
        </w:rPr>
        <w:t xml:space="preserve"> e </w:t>
      </w:r>
      <w:proofErr w:type="spellStart"/>
      <w:r w:rsidRPr="00FB2FDB">
        <w:rPr>
          <w:rFonts w:ascii="Century Gothic" w:hAnsi="Century Gothic"/>
        </w:rPr>
        <w:t>Sharma</w:t>
      </w:r>
      <w:proofErr w:type="spellEnd"/>
      <w:r w:rsidRPr="00FB2FDB">
        <w:rPr>
          <w:rFonts w:ascii="Century Gothic" w:hAnsi="Century Gothic"/>
        </w:rPr>
        <w:t xml:space="preserve"> (2010) afirmam que quando um mercado </w:t>
      </w:r>
      <w:r w:rsidR="0011339F" w:rsidRPr="00FB2FDB">
        <w:rPr>
          <w:rFonts w:ascii="Century Gothic" w:hAnsi="Century Gothic"/>
        </w:rPr>
        <w:t>se encontra</w:t>
      </w:r>
      <w:r w:rsidRPr="00FB2FDB">
        <w:rPr>
          <w:rFonts w:ascii="Century Gothic" w:hAnsi="Century Gothic"/>
        </w:rPr>
        <w:t xml:space="preserve"> </w:t>
      </w:r>
      <w:r w:rsidR="00D21749" w:rsidRPr="00FB2FDB">
        <w:rPr>
          <w:rFonts w:ascii="Century Gothic" w:hAnsi="Century Gothic"/>
        </w:rPr>
        <w:t xml:space="preserve">em </w:t>
      </w:r>
      <w:r w:rsidRPr="00FB2FDB">
        <w:rPr>
          <w:rFonts w:ascii="Century Gothic" w:hAnsi="Century Gothic"/>
        </w:rPr>
        <w:t xml:space="preserve">período de baixa demanda, </w:t>
      </w:r>
      <w:r w:rsidR="00D21749" w:rsidRPr="00FB2FDB">
        <w:rPr>
          <w:rFonts w:ascii="Century Gothic" w:hAnsi="Century Gothic"/>
        </w:rPr>
        <w:t>uma possível</w:t>
      </w:r>
      <w:r w:rsidRPr="00FB2FDB">
        <w:rPr>
          <w:rFonts w:ascii="Century Gothic" w:hAnsi="Century Gothic"/>
        </w:rPr>
        <w:t xml:space="preserve"> solução para a manutenção do volume de vendas passa pela identificação e atendimento de um outro mercado, o qual vivencia picos de </w:t>
      </w:r>
      <w:r w:rsidR="00D21749" w:rsidRPr="00FB2FDB">
        <w:rPr>
          <w:rFonts w:ascii="Century Gothic" w:hAnsi="Century Gothic"/>
        </w:rPr>
        <w:t>procura</w:t>
      </w:r>
      <w:r w:rsidRPr="00FB2FDB">
        <w:rPr>
          <w:rFonts w:ascii="Century Gothic" w:hAnsi="Century Gothic"/>
        </w:rPr>
        <w:t>. Tal política</w:t>
      </w:r>
      <w:r w:rsidR="00D21749" w:rsidRPr="00FB2FDB">
        <w:rPr>
          <w:rFonts w:ascii="Century Gothic" w:hAnsi="Century Gothic"/>
        </w:rPr>
        <w:t>,</w:t>
      </w:r>
      <w:r w:rsidRPr="00FB2FDB">
        <w:rPr>
          <w:rFonts w:ascii="Century Gothic" w:hAnsi="Century Gothic"/>
        </w:rPr>
        <w:t xml:space="preserve"> </w:t>
      </w:r>
      <w:r w:rsidR="00D21749" w:rsidRPr="00FB2FDB">
        <w:rPr>
          <w:rFonts w:ascii="Century Gothic" w:hAnsi="Century Gothic"/>
        </w:rPr>
        <w:t xml:space="preserve">muito embora nem sempre seja factível, </w:t>
      </w:r>
      <w:r w:rsidRPr="00FB2FDB">
        <w:rPr>
          <w:rFonts w:ascii="Century Gothic" w:hAnsi="Century Gothic"/>
        </w:rPr>
        <w:t xml:space="preserve">permitiria à empresa praticar uma </w:t>
      </w:r>
      <w:r w:rsidR="00D21749" w:rsidRPr="00FB2FDB">
        <w:rPr>
          <w:rFonts w:ascii="Century Gothic" w:hAnsi="Century Gothic"/>
        </w:rPr>
        <w:t>estratégia</w:t>
      </w:r>
      <w:r w:rsidRPr="00FB2FDB">
        <w:rPr>
          <w:rFonts w:ascii="Century Gothic" w:hAnsi="Century Gothic"/>
        </w:rPr>
        <w:t xml:space="preserve"> de compra centrada em grandes volumes, com consequente</w:t>
      </w:r>
      <w:r w:rsidR="00D21749" w:rsidRPr="00FB2FDB">
        <w:rPr>
          <w:rFonts w:ascii="Century Gothic" w:hAnsi="Century Gothic"/>
        </w:rPr>
        <w:t>s</w:t>
      </w:r>
      <w:r w:rsidRPr="00FB2FDB">
        <w:rPr>
          <w:rFonts w:ascii="Century Gothic" w:hAnsi="Century Gothic"/>
        </w:rPr>
        <w:t xml:space="preserve"> ganhos de escala.</w:t>
      </w:r>
      <w:r w:rsidR="00D21749" w:rsidRPr="00FB2FDB">
        <w:rPr>
          <w:rFonts w:ascii="Century Gothic" w:hAnsi="Century Gothic"/>
        </w:rPr>
        <w:t xml:space="preserve"> </w:t>
      </w:r>
    </w:p>
    <w:p w:rsidR="00D21749" w:rsidRPr="00FB2FDB" w:rsidRDefault="00D21749" w:rsidP="00FB2FDB">
      <w:pPr>
        <w:ind w:firstLine="709"/>
        <w:jc w:val="both"/>
        <w:rPr>
          <w:rFonts w:ascii="Century Gothic" w:hAnsi="Century Gothic"/>
        </w:rPr>
      </w:pPr>
    </w:p>
    <w:p w:rsidR="00341349" w:rsidRPr="00FB2FDB" w:rsidRDefault="00341349" w:rsidP="00FB2FDB">
      <w:pPr>
        <w:jc w:val="both"/>
        <w:rPr>
          <w:rFonts w:ascii="Century Gothic" w:hAnsi="Century Gothic"/>
          <w:b/>
        </w:rPr>
      </w:pPr>
      <w:r w:rsidRPr="00FB2FDB">
        <w:rPr>
          <w:rFonts w:ascii="Century Gothic" w:hAnsi="Century Gothic"/>
          <w:b/>
        </w:rPr>
        <w:t>2.2 Gestão de Estoques</w:t>
      </w:r>
    </w:p>
    <w:p w:rsidR="00341349" w:rsidRPr="00FB2FDB" w:rsidRDefault="00341349" w:rsidP="00FB2FDB">
      <w:pPr>
        <w:ind w:firstLine="709"/>
        <w:jc w:val="both"/>
        <w:rPr>
          <w:rFonts w:ascii="Century Gothic" w:hAnsi="Century Gothic"/>
        </w:rPr>
      </w:pPr>
      <w:r w:rsidRPr="00FB2FDB">
        <w:rPr>
          <w:rFonts w:ascii="Century Gothic" w:hAnsi="Century Gothic"/>
        </w:rPr>
        <w:tab/>
      </w:r>
    </w:p>
    <w:p w:rsidR="00341349" w:rsidRPr="00FB2FDB" w:rsidRDefault="00341349" w:rsidP="00FB2FDB">
      <w:pPr>
        <w:ind w:firstLine="709"/>
        <w:jc w:val="both"/>
        <w:rPr>
          <w:rFonts w:ascii="Century Gothic" w:hAnsi="Century Gothic"/>
        </w:rPr>
      </w:pPr>
      <w:r w:rsidRPr="00FB2FDB">
        <w:rPr>
          <w:rFonts w:ascii="Century Gothic" w:hAnsi="Century Gothic"/>
        </w:rPr>
        <w:t>A estocagem dos produtos e a gestão dos estoques são elementos do sistema logístico que se estabelecem nas empresas, tendo em vista, principalmente que a demanda não pode ser definida com precisão. Dessa forma, a manutenção dos estoques torna-se uma conveniência para as organizações atenderem de forma eficiente e rápida aos seus clientes (</w:t>
      </w:r>
      <w:proofErr w:type="gramStart"/>
      <w:r w:rsidRPr="00FB2FDB">
        <w:rPr>
          <w:rFonts w:ascii="Century Gothic" w:hAnsi="Century Gothic"/>
        </w:rPr>
        <w:t>ÁNGULO,  NACHTMANN</w:t>
      </w:r>
      <w:proofErr w:type="gramEnd"/>
      <w:r w:rsidRPr="00FB2FDB">
        <w:rPr>
          <w:rFonts w:ascii="Century Gothic" w:hAnsi="Century Gothic"/>
        </w:rPr>
        <w:t xml:space="preserve">, WALLER, 2004; </w:t>
      </w:r>
      <w:r w:rsidRPr="00FB2FDB">
        <w:rPr>
          <w:rFonts w:ascii="Century Gothic" w:hAnsi="Century Gothic" w:cs="Times-Roman"/>
        </w:rPr>
        <w:t xml:space="preserve">RITZMAN e KRAJEWSKI, 2004; BALLOU, 2001; </w:t>
      </w:r>
      <w:r w:rsidR="0076021E" w:rsidRPr="00FB2FDB">
        <w:rPr>
          <w:rFonts w:ascii="Century Gothic" w:hAnsi="Century Gothic"/>
        </w:rPr>
        <w:t xml:space="preserve">BOWERSOX </w:t>
      </w:r>
      <w:r w:rsidR="0076021E">
        <w:rPr>
          <w:rFonts w:ascii="Century Gothic" w:hAnsi="Century Gothic"/>
        </w:rPr>
        <w:t xml:space="preserve">e </w:t>
      </w:r>
      <w:r w:rsidR="0076021E" w:rsidRPr="00FB2FDB">
        <w:rPr>
          <w:rFonts w:ascii="Century Gothic" w:hAnsi="Century Gothic"/>
        </w:rPr>
        <w:t>CLOSS 20</w:t>
      </w:r>
      <w:r w:rsidR="0076021E">
        <w:rPr>
          <w:rFonts w:ascii="Century Gothic" w:hAnsi="Century Gothic"/>
        </w:rPr>
        <w:t>10</w:t>
      </w:r>
      <w:r w:rsidRPr="00FB2FDB">
        <w:rPr>
          <w:rFonts w:ascii="Century Gothic" w:hAnsi="Century Gothic" w:cs="Times-Roman"/>
        </w:rPr>
        <w:t>; SLACK ET AL., 2002)</w:t>
      </w:r>
      <w:r w:rsidRPr="00FB2FDB">
        <w:rPr>
          <w:rFonts w:ascii="Century Gothic" w:hAnsi="Century Gothic"/>
        </w:rPr>
        <w:t>.</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Balou (2001) enumera quatro razões principais para que uma empresa mantenha níveis de estoques de seus produtos: a primeira se refere à redução de custos de transporte e de produção; a segunda ajuda </w:t>
      </w:r>
      <w:r w:rsidR="002F5A35" w:rsidRPr="00FB2FDB">
        <w:rPr>
          <w:rFonts w:ascii="Century Gothic" w:hAnsi="Century Gothic"/>
        </w:rPr>
        <w:t>a</w:t>
      </w:r>
      <w:r w:rsidRPr="00FB2FDB">
        <w:rPr>
          <w:rFonts w:ascii="Century Gothic" w:hAnsi="Century Gothic"/>
        </w:rPr>
        <w:t xml:space="preserve">s organizações a coordenar a relação entre a oferta e a demanda de seus produtos; a terceira </w:t>
      </w:r>
      <w:r w:rsidR="002F5A35" w:rsidRPr="00FB2FDB">
        <w:rPr>
          <w:rFonts w:ascii="Century Gothic" w:hAnsi="Century Gothic"/>
        </w:rPr>
        <w:t>auxilia o</w:t>
      </w:r>
      <w:r w:rsidRPr="00FB2FDB">
        <w:rPr>
          <w:rFonts w:ascii="Century Gothic" w:hAnsi="Century Gothic"/>
        </w:rPr>
        <w:t xml:space="preserve"> processo de produção e, a quarta </w:t>
      </w:r>
      <w:r w:rsidR="00E57F97" w:rsidRPr="00FB2FDB">
        <w:rPr>
          <w:rFonts w:ascii="Century Gothic" w:hAnsi="Century Gothic"/>
        </w:rPr>
        <w:t xml:space="preserve">serve </w:t>
      </w:r>
      <w:r w:rsidRPr="00FB2FDB">
        <w:rPr>
          <w:rFonts w:ascii="Century Gothic" w:hAnsi="Century Gothic"/>
        </w:rPr>
        <w:t xml:space="preserve">para contribuir com o processo de marketing, principalmente </w:t>
      </w:r>
      <w:r w:rsidR="00E57F97" w:rsidRPr="00FB2FDB">
        <w:rPr>
          <w:rFonts w:ascii="Century Gothic" w:hAnsi="Century Gothic"/>
        </w:rPr>
        <w:t>devido</w:t>
      </w:r>
      <w:r w:rsidRPr="00FB2FDB">
        <w:rPr>
          <w:rFonts w:ascii="Century Gothic" w:hAnsi="Century Gothic"/>
        </w:rPr>
        <w:t xml:space="preserve"> à proximidade do produto aos clientes e às campanhas de promoções.</w:t>
      </w:r>
    </w:p>
    <w:p w:rsidR="00341349" w:rsidRPr="00FB2FDB" w:rsidRDefault="00341349" w:rsidP="00FB2FDB">
      <w:pPr>
        <w:ind w:firstLine="709"/>
        <w:jc w:val="both"/>
        <w:rPr>
          <w:rFonts w:ascii="Century Gothic" w:hAnsi="Century Gothic"/>
        </w:rPr>
      </w:pPr>
      <w:r w:rsidRPr="00FB2FDB">
        <w:rPr>
          <w:rFonts w:ascii="Century Gothic" w:hAnsi="Century Gothic"/>
        </w:rPr>
        <w:lastRenderedPageBreak/>
        <w:t xml:space="preserve">De uma forma geral, pode-se dizer que os estoques normalmente fazem parte das maiores preocupações não somente dos gerentes de operações, como também, dos gestores financeiros. Na perspectiva operacional, baixos estoques significam indisponibilidade de atendimento ao cliente, enquanto na visão </w:t>
      </w:r>
      <w:r w:rsidR="002F5A35" w:rsidRPr="00FB2FDB">
        <w:rPr>
          <w:rFonts w:ascii="Century Gothic" w:hAnsi="Century Gothic"/>
        </w:rPr>
        <w:t>financeira</w:t>
      </w:r>
      <w:r w:rsidRPr="00FB2FDB">
        <w:rPr>
          <w:rFonts w:ascii="Century Gothic" w:hAnsi="Century Gothic"/>
        </w:rPr>
        <w:t>, estoques altos significam dinheiro parado e, consequentemente, mais custos (CORRÊA e CORRÊA, 2005).</w:t>
      </w:r>
    </w:p>
    <w:p w:rsidR="00341349" w:rsidRPr="00FB2FDB" w:rsidRDefault="00341349" w:rsidP="00FB2FDB">
      <w:pPr>
        <w:autoSpaceDE w:val="0"/>
        <w:autoSpaceDN w:val="0"/>
        <w:adjustRightInd w:val="0"/>
        <w:ind w:firstLine="709"/>
        <w:jc w:val="both"/>
        <w:rPr>
          <w:rFonts w:ascii="Century Gothic" w:hAnsi="Century Gothic"/>
        </w:rPr>
      </w:pPr>
      <w:r w:rsidRPr="00FB2FDB">
        <w:rPr>
          <w:rFonts w:ascii="Century Gothic" w:hAnsi="Century Gothic"/>
        </w:rPr>
        <w:t>Estoques podem ser conceituados como “acúmulos de recursos materiais entre fases específicas de processos de transformação” (CORRÊA e CORRÊA, 2005, p.355). De acordo com esses autores, é o ac</w:t>
      </w:r>
      <w:r w:rsidR="000F4E1E" w:rsidRPr="00FB2FDB">
        <w:rPr>
          <w:rFonts w:ascii="Century Gothic" w:hAnsi="Century Gothic"/>
        </w:rPr>
        <w:t>ú</w:t>
      </w:r>
      <w:r w:rsidRPr="00FB2FDB">
        <w:rPr>
          <w:rFonts w:ascii="Century Gothic" w:hAnsi="Century Gothic"/>
        </w:rPr>
        <w:t>mulo dos estoques que proporciona a independência entre as fases de produção, ou seja, uma etapa não p</w:t>
      </w:r>
      <w:r w:rsidR="00E57F97" w:rsidRPr="00FB2FDB">
        <w:rPr>
          <w:rFonts w:ascii="Century Gothic" w:hAnsi="Century Gothic"/>
        </w:rPr>
        <w:t>a</w:t>
      </w:r>
      <w:r w:rsidRPr="00FB2FDB">
        <w:rPr>
          <w:rFonts w:ascii="Century Gothic" w:hAnsi="Century Gothic"/>
        </w:rPr>
        <w:t xml:space="preserve">ra em função da falta de material de outra. E sob esse aspecto, a gestão de estoques pode ser traduzida como a capacidade da organização de </w:t>
      </w:r>
      <w:proofErr w:type="spellStart"/>
      <w:r w:rsidRPr="00FB2FDB">
        <w:rPr>
          <w:rFonts w:ascii="Century Gothic" w:hAnsi="Century Gothic"/>
        </w:rPr>
        <w:t>ressuprir</w:t>
      </w:r>
      <w:proofErr w:type="spellEnd"/>
      <w:r w:rsidRPr="00FB2FDB">
        <w:rPr>
          <w:rFonts w:ascii="Century Gothic" w:hAnsi="Century Gothic"/>
        </w:rPr>
        <w:t xml:space="preserve"> algum item do seu processo produtivo ou dos seus produtos, à medida que ele vai sendo consumido pela demanda (SLACK, CHAMBERS e JONHSTON, 2002; SLACK et al, 2008; TUBINO, 2007;</w:t>
      </w:r>
      <w:r w:rsidRPr="00FB2FDB">
        <w:rPr>
          <w:rFonts w:ascii="Century Gothic" w:hAnsi="Century Gothic" w:cs="Times-Roman"/>
        </w:rPr>
        <w:t xml:space="preserve"> BALLOU, 2001; BOWERSOX</w:t>
      </w:r>
      <w:r w:rsidR="0076021E">
        <w:rPr>
          <w:rFonts w:ascii="Century Gothic" w:hAnsi="Century Gothic" w:cs="Times-Roman"/>
        </w:rPr>
        <w:t xml:space="preserve"> e CLOSS</w:t>
      </w:r>
      <w:r w:rsidRPr="00FB2FDB">
        <w:rPr>
          <w:rFonts w:ascii="Century Gothic" w:hAnsi="Century Gothic" w:cs="Times-Roman"/>
        </w:rPr>
        <w:t>, 20</w:t>
      </w:r>
      <w:r w:rsidR="0076021E">
        <w:rPr>
          <w:rFonts w:ascii="Century Gothic" w:hAnsi="Century Gothic" w:cs="Times-Roman"/>
        </w:rPr>
        <w:t>10</w:t>
      </w:r>
      <w:r w:rsidRPr="00FB2FDB">
        <w:rPr>
          <w:rFonts w:ascii="Century Gothic" w:hAnsi="Century Gothic"/>
        </w:rPr>
        <w:t>).</w:t>
      </w:r>
    </w:p>
    <w:p w:rsidR="00341349" w:rsidRPr="00FB2FDB" w:rsidRDefault="00341349" w:rsidP="00FB2FDB">
      <w:pPr>
        <w:autoSpaceDE w:val="0"/>
        <w:autoSpaceDN w:val="0"/>
        <w:adjustRightInd w:val="0"/>
        <w:ind w:firstLine="709"/>
        <w:jc w:val="both"/>
        <w:rPr>
          <w:rFonts w:ascii="Century Gothic" w:hAnsi="Century Gothic" w:cs="Times-Roman"/>
        </w:rPr>
      </w:pPr>
      <w:r w:rsidRPr="00FB2FDB">
        <w:rPr>
          <w:rFonts w:ascii="Century Gothic" w:hAnsi="Century Gothic"/>
        </w:rPr>
        <w:t xml:space="preserve">Os estoques podem ser tipificados de cinco maneiras diferentes: 1) estoques do tipo “no </w:t>
      </w:r>
      <w:r w:rsidR="00E57F97" w:rsidRPr="00FB2FDB">
        <w:rPr>
          <w:rFonts w:ascii="Century Gothic" w:hAnsi="Century Gothic"/>
        </w:rPr>
        <w:t>c</w:t>
      </w:r>
      <w:r w:rsidRPr="00FB2FDB">
        <w:rPr>
          <w:rFonts w:ascii="Century Gothic" w:hAnsi="Century Gothic"/>
        </w:rPr>
        <w:t>anal”, ou seja, aqueles que estão em trânsito, seja nos pontos de estocagem ou de produção; 2) especulação, esse tipo de estoque é mantido nas empresas para especulação de preços. Normalmente, estão vinculados a elementos como ouro, prata, cobre, dentre outros; 3) estoques de natureza regular ou cíclica, assim denominados por satisfazerem a uma demanda média durante o tempo entre reabastecimentos sucessivos; 4) estoques de segurança – aquele adicional ao estoque regular, que possui o objetivo de atender uma demanda extra em condições de prazo de entrega; 5) obsoleto, morto ou reduzido, aquele estoque que possui produtos perecíveis, ou de fácil roubo, ou seja, se perdem quando mantidos por um período de tempo muito longo (</w:t>
      </w:r>
      <w:r w:rsidRPr="00FB2FDB">
        <w:rPr>
          <w:rFonts w:ascii="Century Gothic" w:hAnsi="Century Gothic" w:cs="Times-Roman"/>
        </w:rPr>
        <w:t>BALLOU, 2001).</w:t>
      </w:r>
    </w:p>
    <w:p w:rsidR="00341349" w:rsidRPr="0076021E" w:rsidRDefault="00341349" w:rsidP="00FB2FDB">
      <w:pPr>
        <w:ind w:firstLine="709"/>
        <w:jc w:val="both"/>
        <w:rPr>
          <w:rFonts w:ascii="Century Gothic" w:hAnsi="Century Gothic"/>
          <w:lang w:val="en-US"/>
        </w:rPr>
      </w:pPr>
      <w:r w:rsidRPr="00FB2FDB">
        <w:rPr>
          <w:rFonts w:ascii="Century Gothic" w:hAnsi="Century Gothic"/>
        </w:rPr>
        <w:t xml:space="preserve">A quantidade de produtos em estoque em níveis ótimos pode ser encontrada em diferentes pontos de vistas na organização. Na perspectiva financeira, estoques representam investimentos significativos da empresa, por isto, os gerentes financeiros desejam que os estoques estejam no menor nível possível nas organizações, de forma a reduzir os custos. Já os executivos de marketing buscam manter estoques elevados, com o intuito de não correr o risco de perder a venda por falta de produtos. Os gerentes de produção não querem comprometer o processo produtivo, portanto buscam manter altos estoques de matéria prima. </w:t>
      </w:r>
      <w:r w:rsidRPr="0076021E">
        <w:rPr>
          <w:rFonts w:ascii="Century Gothic" w:hAnsi="Century Gothic"/>
          <w:lang w:val="en-US"/>
        </w:rPr>
        <w:t>(</w:t>
      </w:r>
      <w:r w:rsidRPr="0076021E">
        <w:rPr>
          <w:rFonts w:ascii="Century Gothic" w:hAnsi="Century Gothic" w:cs="Times-Roman"/>
          <w:lang w:val="en-US"/>
        </w:rPr>
        <w:t xml:space="preserve">RITZMAN e KRAJEWSKI, 2004; BALLOU, 2001; </w:t>
      </w:r>
      <w:r w:rsidR="0076021E" w:rsidRPr="0076021E">
        <w:rPr>
          <w:rFonts w:ascii="Century Gothic" w:hAnsi="Century Gothic"/>
          <w:lang w:val="en-US"/>
        </w:rPr>
        <w:t>BOWERSOX e CLOSS 2010</w:t>
      </w:r>
      <w:r w:rsidRPr="0076021E">
        <w:rPr>
          <w:rFonts w:ascii="Century Gothic" w:hAnsi="Century Gothic" w:cs="Times-Roman"/>
          <w:lang w:val="en-US"/>
        </w:rPr>
        <w:t>; SLACK ET AL., 2002)</w:t>
      </w:r>
      <w:r w:rsidRPr="0076021E">
        <w:rPr>
          <w:rFonts w:ascii="Century Gothic" w:hAnsi="Century Gothic"/>
          <w:lang w:val="en-US"/>
        </w:rPr>
        <w:t>.</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Pode-se afirmar que a gestão dos estoques se relaciona com a manutenção da disponibilidade dos produtos da empresa ao cliente e com os custos do fornecimento em um nível específico de manutenção </w:t>
      </w:r>
      <w:r w:rsidR="00E57F97" w:rsidRPr="00FB2FDB">
        <w:rPr>
          <w:rFonts w:ascii="Century Gothic" w:hAnsi="Century Gothic"/>
        </w:rPr>
        <w:t xml:space="preserve">do produto </w:t>
      </w:r>
      <w:r w:rsidRPr="00FB2FDB">
        <w:rPr>
          <w:rFonts w:ascii="Century Gothic" w:hAnsi="Century Gothic"/>
        </w:rPr>
        <w:t xml:space="preserve">na firma (DONG e XUK, 2002).  Nesse sentido, a gestão de estoques, então, apresenta vários tipos de problemas. De acordo com </w:t>
      </w:r>
      <w:proofErr w:type="spellStart"/>
      <w:r w:rsidRPr="00FB2FDB">
        <w:rPr>
          <w:rFonts w:ascii="Century Gothic" w:hAnsi="Century Gothic"/>
        </w:rPr>
        <w:t>Ballou</w:t>
      </w:r>
      <w:proofErr w:type="spellEnd"/>
      <w:r w:rsidRPr="00FB2FDB">
        <w:rPr>
          <w:rFonts w:ascii="Century Gothic" w:hAnsi="Century Gothic"/>
        </w:rPr>
        <w:t xml:space="preserve"> (2001), esses problemas se relacionam com a natureza da demanda, com a filosofia do gerenciamento do estoque e com o grau de agregação dos produtos.</w:t>
      </w:r>
    </w:p>
    <w:p w:rsidR="00341349" w:rsidRPr="00FB2FDB" w:rsidRDefault="00341349" w:rsidP="00FB2FDB">
      <w:pPr>
        <w:ind w:firstLine="709"/>
        <w:jc w:val="both"/>
        <w:rPr>
          <w:rFonts w:ascii="Century Gothic" w:hAnsi="Century Gothic"/>
        </w:rPr>
      </w:pPr>
      <w:r w:rsidRPr="00FB2FDB">
        <w:rPr>
          <w:rFonts w:ascii="Century Gothic" w:hAnsi="Century Gothic"/>
        </w:rPr>
        <w:lastRenderedPageBreak/>
        <w:t xml:space="preserve">Em relação ao primeiro problema, o autor mencionado declara que a natureza da demanda exerce um papel significativo na determinação do controle do nível de estoque, à medida que o tempo passa. Esse aspecto se mostra mais evidente nos produtos altamente sazonais ou que têm padrão de demanda de um período, ou pico. Nesse caso, segundo </w:t>
      </w:r>
      <w:proofErr w:type="spellStart"/>
      <w:r w:rsidRPr="00FB2FDB">
        <w:rPr>
          <w:rFonts w:ascii="Century Gothic" w:hAnsi="Century Gothic"/>
        </w:rPr>
        <w:t>Bal</w:t>
      </w:r>
      <w:r w:rsidR="00C52BA9">
        <w:rPr>
          <w:rFonts w:ascii="Century Gothic" w:hAnsi="Century Gothic"/>
        </w:rPr>
        <w:t>l</w:t>
      </w:r>
      <w:r w:rsidRPr="00FB2FDB">
        <w:rPr>
          <w:rFonts w:ascii="Century Gothic" w:hAnsi="Century Gothic"/>
        </w:rPr>
        <w:t>ou</w:t>
      </w:r>
      <w:proofErr w:type="spellEnd"/>
      <w:r w:rsidRPr="00FB2FDB">
        <w:rPr>
          <w:rFonts w:ascii="Century Gothic" w:hAnsi="Century Gothic"/>
        </w:rPr>
        <w:t xml:space="preserve"> (2001, p.252), “os estoques que são mantidos para satisfazer tal padrão de demanda, geralmente não podem ser vendidos sem um grande desconto do preço”. O autor menciona alguns exemplos desse tipo de demanda, como roupas de moda, árvores de natal e </w:t>
      </w:r>
      <w:proofErr w:type="spellStart"/>
      <w:r w:rsidRPr="00FB2FDB">
        <w:rPr>
          <w:rFonts w:ascii="Century Gothic" w:hAnsi="Century Gothic"/>
          <w:i/>
        </w:rPr>
        <w:t>buttons</w:t>
      </w:r>
      <w:proofErr w:type="spellEnd"/>
      <w:r w:rsidRPr="00FB2FDB">
        <w:rPr>
          <w:rFonts w:ascii="Century Gothic" w:hAnsi="Century Gothic"/>
          <w:i/>
        </w:rPr>
        <w:t xml:space="preserve"> </w:t>
      </w:r>
      <w:r w:rsidRPr="00FB2FDB">
        <w:rPr>
          <w:rFonts w:ascii="Century Gothic" w:hAnsi="Century Gothic"/>
        </w:rPr>
        <w:t>de campanha política.</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Além desse, os padrões de demanda podem </w:t>
      </w:r>
      <w:r w:rsidR="00F55481" w:rsidRPr="00FB2FDB">
        <w:rPr>
          <w:rFonts w:ascii="Century Gothic" w:hAnsi="Century Gothic"/>
        </w:rPr>
        <w:t>ser de</w:t>
      </w:r>
      <w:r w:rsidR="000F4E1E" w:rsidRPr="00FB2FDB">
        <w:rPr>
          <w:rFonts w:ascii="Century Gothic" w:hAnsi="Century Gothic"/>
        </w:rPr>
        <w:t xml:space="preserve"> vári</w:t>
      </w:r>
      <w:r w:rsidR="00F55481" w:rsidRPr="00FB2FDB">
        <w:rPr>
          <w:rFonts w:ascii="Century Gothic" w:hAnsi="Century Gothic"/>
        </w:rPr>
        <w:t>o</w:t>
      </w:r>
      <w:r w:rsidR="000F4E1E" w:rsidRPr="00FB2FDB">
        <w:rPr>
          <w:rFonts w:ascii="Century Gothic" w:hAnsi="Century Gothic"/>
        </w:rPr>
        <w:t xml:space="preserve">s </w:t>
      </w:r>
      <w:r w:rsidR="00F55481" w:rsidRPr="00FB2FDB">
        <w:rPr>
          <w:rFonts w:ascii="Century Gothic" w:hAnsi="Century Gothic"/>
        </w:rPr>
        <w:t>tipos</w:t>
      </w:r>
      <w:r w:rsidRPr="00FB2FDB">
        <w:rPr>
          <w:rFonts w:ascii="Century Gothic" w:hAnsi="Century Gothic"/>
        </w:rPr>
        <w:t>, como padrão de demanda perpétuo – sopas, enlatados; padrão irregular ou errático – peças de reposição, livros-texto e padrão de demanda derivada, encontrada nos materiais de embalagem, por exemplo. De acordo com cada uma dessas naturezas da demanda, a gestão de estoques requer atuação de forma específica e diferente.</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A filosofia do gerenciamento do estoque, segundo problema apontado por </w:t>
      </w:r>
      <w:proofErr w:type="spellStart"/>
      <w:r w:rsidRPr="00FB2FDB">
        <w:rPr>
          <w:rFonts w:ascii="Century Gothic" w:hAnsi="Century Gothic"/>
        </w:rPr>
        <w:t>Bal</w:t>
      </w:r>
      <w:r w:rsidR="00C52BA9">
        <w:rPr>
          <w:rFonts w:ascii="Century Gothic" w:hAnsi="Century Gothic"/>
        </w:rPr>
        <w:t>l</w:t>
      </w:r>
      <w:r w:rsidRPr="00FB2FDB">
        <w:rPr>
          <w:rFonts w:ascii="Century Gothic" w:hAnsi="Century Gothic"/>
        </w:rPr>
        <w:t>ou</w:t>
      </w:r>
      <w:proofErr w:type="spellEnd"/>
      <w:r w:rsidRPr="00FB2FDB">
        <w:rPr>
          <w:rFonts w:ascii="Century Gothic" w:hAnsi="Century Gothic"/>
        </w:rPr>
        <w:t xml:space="preserve"> (2001), se caracteriza de duas formas: a filosofia de gestão do estoque baseada na abordagem de “puxar” e aquela baseada na premissa de “empurrar”. Na primeira, a visão de cada ponto de estocagem, como um armazém, é dependente de todos os outros no canal, ou seja, “a determinação das quantidades de reabastecimento </w:t>
      </w:r>
      <w:r w:rsidR="00190C93" w:rsidRPr="00FB2FDB">
        <w:rPr>
          <w:rFonts w:ascii="Century Gothic" w:hAnsi="Century Gothic"/>
        </w:rPr>
        <w:t>é feita</w:t>
      </w:r>
      <w:r w:rsidRPr="00FB2FDB">
        <w:rPr>
          <w:rFonts w:ascii="Century Gothic" w:hAnsi="Century Gothic"/>
        </w:rPr>
        <w:t xml:space="preserve"> considerando somente circunstâncias locais” (p.253). Já na segunda forma – empurrar – há independência nas decisões sobre cada estoque.</w:t>
      </w:r>
    </w:p>
    <w:p w:rsidR="00341349" w:rsidRPr="00FB2FDB" w:rsidRDefault="00341349" w:rsidP="00FB2FDB">
      <w:pPr>
        <w:ind w:firstLine="709"/>
        <w:jc w:val="both"/>
        <w:rPr>
          <w:rFonts w:ascii="Century Gothic" w:hAnsi="Century Gothic"/>
        </w:rPr>
      </w:pPr>
      <w:r w:rsidRPr="00FB2FDB">
        <w:rPr>
          <w:rFonts w:ascii="Century Gothic" w:hAnsi="Century Gothic"/>
        </w:rPr>
        <w:t>Por último, sobre o grau de agregação dos produtos, o autor afirma que a gestão do estoque é direcionada para o controle de cada item no estoque, ou seja, “o controle preciso de cada item pode conduzir ao controle preciso da soma dos níveis de estoque para todos os itens” (p.254).</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Corrêa e Corrêa (2005) afirmam que a determinação da quantidade e o </w:t>
      </w:r>
      <w:proofErr w:type="spellStart"/>
      <w:r w:rsidRPr="00FB2FDB">
        <w:rPr>
          <w:rFonts w:ascii="Century Gothic" w:hAnsi="Century Gothic"/>
        </w:rPr>
        <w:t>ressuprimento</w:t>
      </w:r>
      <w:proofErr w:type="spellEnd"/>
      <w:r w:rsidRPr="00FB2FDB">
        <w:rPr>
          <w:rFonts w:ascii="Century Gothic" w:hAnsi="Century Gothic"/>
        </w:rPr>
        <w:t xml:space="preserve"> do nível do estoque são os motivos que diferenciam os diversos sistemas de gestão de estoques disponíveis. Um dos bastante usados é o chamado “ponto de reposição com lote econômico”. Nesse modelo, todas as vezes que um item é retirado do estoque, verifica-se a quantidade restante daquele item. Se a quantidade que sobrou for menor que uma predeterminada, denominada de “ponto de reposição”, então, deve ser adquirido ou produzido um lote chamado de “lote de </w:t>
      </w:r>
      <w:proofErr w:type="spellStart"/>
      <w:r w:rsidRPr="00FB2FDB">
        <w:rPr>
          <w:rFonts w:ascii="Century Gothic" w:hAnsi="Century Gothic"/>
        </w:rPr>
        <w:t>ressuprimento</w:t>
      </w:r>
      <w:proofErr w:type="spellEnd"/>
      <w:r w:rsidRPr="00FB2FDB">
        <w:rPr>
          <w:rFonts w:ascii="Century Gothic" w:hAnsi="Century Gothic"/>
        </w:rPr>
        <w:t xml:space="preserve">”. Esse modelo funciona nas organizações na medida em que se define com clareza tanto o ponto de reposição, quanto o tamanho do lote de </w:t>
      </w:r>
      <w:proofErr w:type="spellStart"/>
      <w:r w:rsidRPr="00FB2FDB">
        <w:rPr>
          <w:rFonts w:ascii="Century Gothic" w:hAnsi="Century Gothic"/>
        </w:rPr>
        <w:t>ressuprimento</w:t>
      </w:r>
      <w:proofErr w:type="spellEnd"/>
      <w:r w:rsidRPr="00FB2FDB">
        <w:rPr>
          <w:rFonts w:ascii="Century Gothic" w:hAnsi="Century Gothic"/>
        </w:rPr>
        <w:t>. Entretanto, esses parâmetros devem ser adotados na firma a partir de uma abordagem de custos: custos de armazenagem, custos de pedido, custos unitários e fixos, dentre outros.</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Outro modelo também comum é o conhecido pelo nome “Modelo de Revisão Periódica”. Apesar de ser mais simples que o anterior, possui sua eficácia no processo de gestão de estoques. Nesse sistema, verifica-se o nível do estoque de um item específico e, com base no nível encontrado, determina-se a quantidade que deverá ser </w:t>
      </w:r>
      <w:proofErr w:type="spellStart"/>
      <w:r w:rsidRPr="00FB2FDB">
        <w:rPr>
          <w:rFonts w:ascii="Century Gothic" w:hAnsi="Century Gothic"/>
        </w:rPr>
        <w:t>ressuprida</w:t>
      </w:r>
      <w:proofErr w:type="spellEnd"/>
      <w:r w:rsidRPr="00FB2FDB">
        <w:rPr>
          <w:rFonts w:ascii="Century Gothic" w:hAnsi="Century Gothic"/>
        </w:rPr>
        <w:t xml:space="preserve">. Essa reposição deverá </w:t>
      </w:r>
      <w:r w:rsidRPr="00FB2FDB">
        <w:rPr>
          <w:rFonts w:ascii="Century Gothic" w:hAnsi="Century Gothic"/>
        </w:rPr>
        <w:lastRenderedPageBreak/>
        <w:t>atingir os níveis de estoques predeterminados (SLACK, CHAMBERS e JONHSTON, 2002; SLACK et al, 2008;</w:t>
      </w:r>
      <w:r w:rsidRPr="00FB2FDB">
        <w:rPr>
          <w:rFonts w:ascii="Century Gothic" w:hAnsi="Century Gothic" w:cs="Times-Roman"/>
        </w:rPr>
        <w:t xml:space="preserve"> BALLOU, 2001; </w:t>
      </w:r>
      <w:r w:rsidRPr="00FB2FDB">
        <w:rPr>
          <w:rFonts w:ascii="Century Gothic" w:hAnsi="Century Gothic"/>
        </w:rPr>
        <w:t>CORRÊA e CORRÊA, 2005).</w:t>
      </w:r>
    </w:p>
    <w:p w:rsidR="00341349" w:rsidRPr="00FB2FDB" w:rsidRDefault="00341349" w:rsidP="00FB2FDB">
      <w:pPr>
        <w:ind w:firstLine="709"/>
        <w:jc w:val="both"/>
        <w:rPr>
          <w:rFonts w:ascii="Century Gothic" w:hAnsi="Century Gothic"/>
        </w:rPr>
      </w:pPr>
      <w:r w:rsidRPr="00FB2FDB">
        <w:rPr>
          <w:rFonts w:ascii="Century Gothic" w:hAnsi="Century Gothic"/>
        </w:rPr>
        <w:t>Já no modelo da Curva ABC, também muito utilizado pelas organizações, classificam-se todos os itens de estoque basicamente em três grupos baseados na quantidade anual de uso (SLACK, CHAMBERS e JONHSTON, 2002; SLACK et al, 2008;</w:t>
      </w:r>
      <w:r w:rsidRPr="00FB2FDB">
        <w:rPr>
          <w:rFonts w:ascii="Century Gothic" w:hAnsi="Century Gothic" w:cs="Times-Roman"/>
        </w:rPr>
        <w:t xml:space="preserve"> BALLOU, 2001; </w:t>
      </w:r>
      <w:r w:rsidRPr="00FB2FDB">
        <w:rPr>
          <w:rFonts w:ascii="Century Gothic" w:hAnsi="Century Gothic"/>
        </w:rPr>
        <w:t>CORRÊA e CORRÊA, 2005).  De acordo com Corrêa e Corrêa (2005, p. 369), “o objetivo é definir grupos para os quais diferentes sistemas de controle de estoque serão mais apropriados, resultando em um sistema total mais eficiente em custos”.</w:t>
      </w:r>
    </w:p>
    <w:p w:rsidR="00341349" w:rsidRPr="00FB2FDB" w:rsidRDefault="00341349" w:rsidP="00FB2FDB">
      <w:pPr>
        <w:ind w:firstLine="709"/>
        <w:jc w:val="both"/>
        <w:rPr>
          <w:rFonts w:ascii="Century Gothic" w:hAnsi="Century Gothic"/>
        </w:rPr>
      </w:pPr>
      <w:r w:rsidRPr="00FB2FDB">
        <w:rPr>
          <w:rFonts w:ascii="Century Gothic" w:hAnsi="Century Gothic"/>
        </w:rPr>
        <w:t>Independentemente da forma de gestão de estoques adotado pela empresa, é certo que a falta de um modelo consistente e internalizado nas organizações pode acarretar altos custos, bem como prejuízos no atendimento aos clientes pela indisponibilidade do produto.</w:t>
      </w:r>
    </w:p>
    <w:p w:rsidR="00DB5645" w:rsidRPr="00FB2FDB" w:rsidRDefault="00341349" w:rsidP="00FB2FDB">
      <w:pPr>
        <w:ind w:firstLine="709"/>
        <w:jc w:val="both"/>
        <w:rPr>
          <w:rFonts w:ascii="Century Gothic" w:hAnsi="Century Gothic"/>
        </w:rPr>
      </w:pPr>
      <w:r w:rsidRPr="00FB2FDB">
        <w:rPr>
          <w:rFonts w:ascii="Century Gothic" w:hAnsi="Century Gothic"/>
        </w:rPr>
        <w:t xml:space="preserve">Quando se associa a gestão de estoques com vendas em atividades sazonais, encontram-se na literatura alguns estudos que procuraram analisar os efeitos da sazonalidade no total dos estoques. </w:t>
      </w:r>
      <w:proofErr w:type="spellStart"/>
      <w:r w:rsidR="00DB5645" w:rsidRPr="00FB2FDB">
        <w:rPr>
          <w:rFonts w:ascii="Century Gothic" w:hAnsi="Century Gothic"/>
        </w:rPr>
        <w:t>Ehrenthal</w:t>
      </w:r>
      <w:proofErr w:type="spellEnd"/>
      <w:r w:rsidR="00DB5645" w:rsidRPr="00FB2FDB">
        <w:rPr>
          <w:rFonts w:ascii="Century Gothic" w:hAnsi="Century Gothic"/>
        </w:rPr>
        <w:t xml:space="preserve">, </w:t>
      </w:r>
      <w:proofErr w:type="spellStart"/>
      <w:r w:rsidR="00DB5645" w:rsidRPr="00FB2FDB">
        <w:rPr>
          <w:rFonts w:ascii="Century Gothic" w:hAnsi="Century Gothic"/>
        </w:rPr>
        <w:t>Honhon</w:t>
      </w:r>
      <w:proofErr w:type="spellEnd"/>
      <w:r w:rsidR="00DB5645" w:rsidRPr="00FB2FDB">
        <w:rPr>
          <w:rFonts w:ascii="Century Gothic" w:hAnsi="Century Gothic"/>
        </w:rPr>
        <w:t xml:space="preserve"> e Van </w:t>
      </w:r>
      <w:proofErr w:type="spellStart"/>
      <w:r w:rsidR="00DB5645" w:rsidRPr="00FB2FDB">
        <w:rPr>
          <w:rFonts w:ascii="Century Gothic" w:hAnsi="Century Gothic"/>
        </w:rPr>
        <w:t>Woensel</w:t>
      </w:r>
      <w:proofErr w:type="spellEnd"/>
      <w:r w:rsidR="00DB5645" w:rsidRPr="00FB2FDB">
        <w:rPr>
          <w:rFonts w:ascii="Century Gothic" w:hAnsi="Century Gothic"/>
        </w:rPr>
        <w:t xml:space="preserve"> (2014) afirmam que o grande desafio no gerenciamento de estoques varejistas é conciliar demanda e reposição, ou seja, proporcionar itens disponíveis em razão de uma futura demanda de clientes. Para os autores, os aspectos que dificultam tal gerenciamento recaem sobre economias de escala na compra, armazenamento inadequado ou variações de demanda.</w:t>
      </w:r>
    </w:p>
    <w:p w:rsidR="00DB5645" w:rsidRPr="00FB2FDB" w:rsidRDefault="00DB5645" w:rsidP="00FB2FDB">
      <w:pPr>
        <w:ind w:firstLine="709"/>
        <w:jc w:val="both"/>
        <w:rPr>
          <w:rFonts w:ascii="Century Gothic" w:hAnsi="Century Gothic"/>
        </w:rPr>
      </w:pPr>
    </w:p>
    <w:p w:rsidR="00B3029F" w:rsidRPr="00FB2FDB" w:rsidRDefault="00341349" w:rsidP="00FB2FDB">
      <w:pPr>
        <w:ind w:firstLine="709"/>
        <w:jc w:val="both"/>
        <w:rPr>
          <w:rFonts w:ascii="Century Gothic" w:hAnsi="Century Gothic"/>
        </w:rPr>
      </w:pPr>
      <w:proofErr w:type="spellStart"/>
      <w:r w:rsidRPr="00FB2FDB">
        <w:rPr>
          <w:rFonts w:ascii="Century Gothic" w:hAnsi="Century Gothic"/>
        </w:rPr>
        <w:t>Abernathy</w:t>
      </w:r>
      <w:proofErr w:type="spellEnd"/>
      <w:r w:rsidRPr="00FB2FDB">
        <w:rPr>
          <w:rFonts w:ascii="Century Gothic" w:hAnsi="Century Gothic"/>
        </w:rPr>
        <w:t xml:space="preserve"> et al (2000), por exemplo, estudando o caso de indústrias sujeitas a vendas sazonais em função do desempenho dos seus clientes varejistas, afirmam que as grandes redes de varejo têm optado por reduzir seus pedidos no início das estações, como forma de diminuir custos e minimizar perdas provenientes da não realização das vendas. Ao mesmo tempo, os autores avaliam a necessidade de manutenção de estoques em razão da variabilidade das vendas, concluindo que, quanto maior a flutuação, maior será o volume necessário de estoques, como forma de reduzir possíveis perdas determinadas pela falta de mercadoria.</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Parente (2000) apresenta casos em que as previsões de vendas mostraram-se errôneas, citando o comportamento de consumidores brasileiros nas festividades natalinas de 1997, 1998 e 1999. Segundo o autor, em todos os três anos, houve previsões de queda nas vendas, comparativamente ao mesmo período do ano anterior, porém o fato marcante é que foi constatado crescimento em todos os períodos citados, o que vem a reforçar os comentários acerca da dificuldade de se efetuar previsões com reduzida margem de erro. </w:t>
      </w:r>
    </w:p>
    <w:p w:rsidR="002E5B61" w:rsidRPr="00FB2FDB" w:rsidRDefault="00341349" w:rsidP="00FB2FDB">
      <w:pPr>
        <w:ind w:firstLine="709"/>
        <w:jc w:val="both"/>
        <w:rPr>
          <w:rFonts w:ascii="Century Gothic" w:hAnsi="Century Gothic"/>
        </w:rPr>
      </w:pPr>
      <w:r w:rsidRPr="00FB2FDB">
        <w:rPr>
          <w:rFonts w:ascii="Century Gothic" w:hAnsi="Century Gothic"/>
        </w:rPr>
        <w:t xml:space="preserve">O autor sugere ainda, como forma de elevar a precisão das projeções, que sejam avaliados os indicadores macroeconômicos, como: taxa de juros e de desemprego; nível de renda e expectativas do consumidor, além da sensibilidade deste às variações de preço; o preço dos produtos substitutos; o ciclo de vida do produto; e o grau de competitividade presente na categoria em questão, isto é, o esforço de marketing de um varejista em especial frente ao empenho empreendido pelos demais concorrentes.  </w:t>
      </w:r>
    </w:p>
    <w:p w:rsidR="002E5B61" w:rsidRPr="00FB2FDB" w:rsidRDefault="002E5B61" w:rsidP="00FB2FDB">
      <w:pPr>
        <w:ind w:firstLine="709"/>
        <w:jc w:val="both"/>
        <w:rPr>
          <w:rFonts w:ascii="Century Gothic" w:hAnsi="Century Gothic"/>
        </w:rPr>
      </w:pPr>
      <w:r w:rsidRPr="00FB2FDB">
        <w:rPr>
          <w:rFonts w:ascii="Century Gothic" w:hAnsi="Century Gothic"/>
        </w:rPr>
        <w:lastRenderedPageBreak/>
        <w:t xml:space="preserve">Para Cecchetti, </w:t>
      </w:r>
      <w:proofErr w:type="spellStart"/>
      <w:r w:rsidRPr="00FB2FDB">
        <w:rPr>
          <w:rFonts w:ascii="Century Gothic" w:hAnsi="Century Gothic"/>
        </w:rPr>
        <w:t>Kashyap</w:t>
      </w:r>
      <w:proofErr w:type="spellEnd"/>
      <w:r w:rsidRPr="00FB2FDB">
        <w:rPr>
          <w:rFonts w:ascii="Century Gothic" w:hAnsi="Century Gothic"/>
        </w:rPr>
        <w:t xml:space="preserve"> e </w:t>
      </w:r>
      <w:proofErr w:type="spellStart"/>
      <w:r w:rsidRPr="00FB2FDB">
        <w:rPr>
          <w:rFonts w:ascii="Century Gothic" w:hAnsi="Century Gothic"/>
        </w:rPr>
        <w:t>Wilcox</w:t>
      </w:r>
      <w:proofErr w:type="spellEnd"/>
      <w:r w:rsidRPr="00FB2FDB">
        <w:rPr>
          <w:rFonts w:ascii="Century Gothic" w:hAnsi="Century Gothic"/>
        </w:rPr>
        <w:t xml:space="preserve"> (1997), diante de restrições relacionadas à capacidade produtiva, as empresas procuram ajustar seus padrões de produção ao longo do ano, produzindo em maior escala em períodos de baixa demanda para evitar elevações de custo com excesso de produção em períodos de demanda elevada, ou seja, as empresas antecipam a produção para períodos em que não enfrentam limitações de capacidade produtiva.</w:t>
      </w:r>
    </w:p>
    <w:p w:rsidR="00F55481" w:rsidRPr="00FB2FDB" w:rsidRDefault="00F55481" w:rsidP="00FB2FDB">
      <w:pPr>
        <w:ind w:firstLine="709"/>
        <w:jc w:val="both"/>
        <w:rPr>
          <w:rFonts w:ascii="Century Gothic" w:hAnsi="Century Gothic"/>
        </w:rPr>
      </w:pPr>
      <w:r w:rsidRPr="00FB2FDB">
        <w:rPr>
          <w:rFonts w:ascii="Century Gothic" w:hAnsi="Century Gothic"/>
        </w:rPr>
        <w:t xml:space="preserve">Relativamente a esse aspecto, Bradley e </w:t>
      </w:r>
      <w:proofErr w:type="spellStart"/>
      <w:r w:rsidRPr="00FB2FDB">
        <w:rPr>
          <w:rFonts w:ascii="Century Gothic" w:hAnsi="Century Gothic"/>
        </w:rPr>
        <w:t>Arntzen</w:t>
      </w:r>
      <w:proofErr w:type="spellEnd"/>
      <w:r w:rsidRPr="00FB2FDB">
        <w:rPr>
          <w:rFonts w:ascii="Century Gothic" w:hAnsi="Century Gothic"/>
        </w:rPr>
        <w:t xml:space="preserve"> (1999) afirmam existir um </w:t>
      </w:r>
      <w:r w:rsidRPr="00FB2FDB">
        <w:rPr>
          <w:rFonts w:ascii="Century Gothic" w:hAnsi="Century Gothic"/>
          <w:i/>
        </w:rPr>
        <w:t>trade off</w:t>
      </w:r>
      <w:r w:rsidRPr="00FB2FDB">
        <w:rPr>
          <w:rFonts w:ascii="Century Gothic" w:hAnsi="Century Gothic"/>
        </w:rPr>
        <w:t xml:space="preserve"> entre investimento em capacidade produtiva e investimento em estoques. Para empresas que se deparam com vendas sazonais, ou outra forma de variação nas vendas, os autores afirmam </w:t>
      </w:r>
      <w:r w:rsidR="00C64F63" w:rsidRPr="00FB2FDB">
        <w:rPr>
          <w:rFonts w:ascii="Century Gothic" w:hAnsi="Century Gothic"/>
        </w:rPr>
        <w:t xml:space="preserve">que </w:t>
      </w:r>
      <w:r w:rsidRPr="00FB2FDB">
        <w:rPr>
          <w:rFonts w:ascii="Century Gothic" w:hAnsi="Century Gothic"/>
        </w:rPr>
        <w:t xml:space="preserve">pode ser mais </w:t>
      </w:r>
      <w:r w:rsidR="00C64F63" w:rsidRPr="00FB2FDB">
        <w:rPr>
          <w:rFonts w:ascii="Century Gothic" w:hAnsi="Century Gothic"/>
        </w:rPr>
        <w:t>lucrativ</w:t>
      </w:r>
      <w:r w:rsidRPr="00FB2FDB">
        <w:rPr>
          <w:rFonts w:ascii="Century Gothic" w:hAnsi="Century Gothic"/>
        </w:rPr>
        <w:t>o</w:t>
      </w:r>
      <w:r w:rsidR="00C64F63" w:rsidRPr="00FB2FDB">
        <w:rPr>
          <w:rFonts w:ascii="Century Gothic" w:hAnsi="Century Gothic"/>
        </w:rPr>
        <w:t xml:space="preserve"> investir em capacidade produtiva, </w:t>
      </w:r>
      <w:r w:rsidR="00387EE1" w:rsidRPr="00FB2FDB">
        <w:rPr>
          <w:rFonts w:ascii="Century Gothic" w:hAnsi="Century Gothic"/>
        </w:rPr>
        <w:t xml:space="preserve">mesmo que </w:t>
      </w:r>
      <w:r w:rsidR="00C64F63" w:rsidRPr="00FB2FDB">
        <w:rPr>
          <w:rFonts w:ascii="Century Gothic" w:hAnsi="Century Gothic"/>
        </w:rPr>
        <w:t>plenamente utilizada apenas em alguns períodos, do que investir em volumes elevados de produção durante todo o ano como forma de atender picos de demanda.</w:t>
      </w:r>
      <w:r w:rsidR="00387EE1" w:rsidRPr="00FB2FDB">
        <w:rPr>
          <w:rFonts w:ascii="Century Gothic" w:hAnsi="Century Gothic"/>
        </w:rPr>
        <w:t xml:space="preserve"> Tal constatação baseia-se no fato de que muitas vezes o custo para aquisição de máquinas e equipamentos é inferior ao elevado volume de capital requerido para a manutenção de estoques elevados.</w:t>
      </w:r>
    </w:p>
    <w:p w:rsidR="002E5B61" w:rsidRPr="00FB2FDB" w:rsidRDefault="002E5B61" w:rsidP="00FB2FDB">
      <w:pPr>
        <w:ind w:firstLine="709"/>
        <w:jc w:val="both"/>
        <w:rPr>
          <w:rFonts w:ascii="Century Gothic" w:hAnsi="Century Gothic"/>
        </w:rPr>
      </w:pPr>
      <w:r w:rsidRPr="00FB2FDB">
        <w:rPr>
          <w:rFonts w:ascii="Century Gothic" w:hAnsi="Century Gothic"/>
        </w:rPr>
        <w:t xml:space="preserve">De acordo com </w:t>
      </w:r>
      <w:proofErr w:type="spellStart"/>
      <w:r w:rsidRPr="00FB2FDB">
        <w:rPr>
          <w:rFonts w:ascii="Century Gothic" w:hAnsi="Century Gothic"/>
        </w:rPr>
        <w:t>Kaya</w:t>
      </w:r>
      <w:proofErr w:type="spellEnd"/>
      <w:r w:rsidRPr="00FB2FDB">
        <w:rPr>
          <w:rFonts w:ascii="Century Gothic" w:hAnsi="Century Gothic"/>
        </w:rPr>
        <w:t xml:space="preserve"> e </w:t>
      </w:r>
      <w:proofErr w:type="spellStart"/>
      <w:r w:rsidRPr="00FB2FDB">
        <w:rPr>
          <w:rFonts w:ascii="Century Gothic" w:hAnsi="Century Gothic"/>
        </w:rPr>
        <w:t>Banerjee</w:t>
      </w:r>
      <w:proofErr w:type="spellEnd"/>
      <w:r w:rsidRPr="00FB2FDB">
        <w:rPr>
          <w:rFonts w:ascii="Century Gothic" w:hAnsi="Century Gothic"/>
        </w:rPr>
        <w:t xml:space="preserve"> (2012), para as empresas do segmento comercial, tanto varejistas quanto atacadistas, as flutuações de estoques são positivamente relacionadas aos ciclos econômicos, porém, não são correlacionadas às flutuações de vendas no curto prazo.</w:t>
      </w:r>
    </w:p>
    <w:p w:rsidR="002E5B61" w:rsidRPr="00FB2FDB" w:rsidRDefault="002E5B61" w:rsidP="00FB2FDB">
      <w:pPr>
        <w:ind w:firstLine="709"/>
        <w:jc w:val="both"/>
        <w:rPr>
          <w:rFonts w:ascii="Century Gothic" w:hAnsi="Century Gothic"/>
        </w:rPr>
      </w:pPr>
    </w:p>
    <w:p w:rsidR="002E5B61" w:rsidRPr="00FB2FDB" w:rsidRDefault="002E5B61" w:rsidP="00FB2FDB">
      <w:pPr>
        <w:ind w:firstLine="709"/>
        <w:jc w:val="both"/>
        <w:rPr>
          <w:rFonts w:ascii="Century Gothic" w:hAnsi="Century Gothic"/>
        </w:rPr>
      </w:pPr>
      <w:r w:rsidRPr="00FB2FDB">
        <w:rPr>
          <w:rFonts w:ascii="Century Gothic" w:hAnsi="Century Gothic"/>
        </w:rPr>
        <w:t xml:space="preserve">Carpenter e Levy (1998) estimam que 76,3% e 71,8% das variações nos estoques são provocadas por fatores sazonais, considerando a indústria de bens não duráveis e de bens duráveis, respectivamente. Eles também dividem as variações sazonais em 2 componentes, um estocástico e outro, determinístico. O componente determinístico é previsível e responde por 1/3 das variações, no caso de bens não duráveis e por metade das variações, em se tratando de bens duráveis, ficando o restante para o componente estocástico, o qual não é previsível. </w:t>
      </w:r>
    </w:p>
    <w:p w:rsidR="002E5B61" w:rsidRPr="00FB2FDB" w:rsidRDefault="002E5B61" w:rsidP="00FB2FDB">
      <w:pPr>
        <w:ind w:firstLine="709"/>
        <w:jc w:val="both"/>
        <w:rPr>
          <w:rFonts w:ascii="Century Gothic" w:hAnsi="Century Gothic"/>
        </w:rPr>
      </w:pPr>
    </w:p>
    <w:p w:rsidR="00341349" w:rsidRPr="00FB2FDB" w:rsidRDefault="00341349" w:rsidP="00FB2FDB">
      <w:pPr>
        <w:jc w:val="both"/>
        <w:rPr>
          <w:rFonts w:ascii="Century Gothic" w:hAnsi="Century Gothic"/>
          <w:b/>
        </w:rPr>
      </w:pPr>
      <w:r w:rsidRPr="00FB2FDB">
        <w:rPr>
          <w:rFonts w:ascii="Century Gothic" w:hAnsi="Century Gothic"/>
          <w:b/>
        </w:rPr>
        <w:t>2.3 Gestão do Estoque na Perspectiva Financeira</w:t>
      </w:r>
    </w:p>
    <w:p w:rsidR="00341349" w:rsidRPr="00FB2FDB" w:rsidRDefault="00341349" w:rsidP="00FB2FDB">
      <w:pPr>
        <w:ind w:firstLine="709"/>
        <w:jc w:val="both"/>
        <w:rPr>
          <w:rFonts w:ascii="Century Gothic" w:hAnsi="Century Gothic"/>
        </w:rPr>
      </w:pPr>
      <w:r w:rsidRPr="00FB2FDB">
        <w:rPr>
          <w:rFonts w:ascii="Century Gothic" w:hAnsi="Century Gothic"/>
        </w:rPr>
        <w:tab/>
      </w:r>
    </w:p>
    <w:p w:rsidR="00341349" w:rsidRPr="00FB2FDB" w:rsidRDefault="00341349" w:rsidP="00FB2FDB">
      <w:pPr>
        <w:ind w:firstLine="709"/>
        <w:jc w:val="both"/>
        <w:rPr>
          <w:rFonts w:ascii="Century Gothic" w:hAnsi="Century Gothic"/>
        </w:rPr>
      </w:pPr>
      <w:r w:rsidRPr="00FB2FDB">
        <w:rPr>
          <w:rFonts w:ascii="Century Gothic" w:hAnsi="Century Gothic"/>
        </w:rPr>
        <w:t>Na perspectiva financeira, os estoques demandam grandes volumes de recursos imobilizados que geram um alto custo para as organizações. Desse modo, as empresas devem buscar a promoção da rápida rotação desses estoques com o objetivo de manter a liquidez financeira (GITMAN, 2004; BRIGHAM, HOUSTON, 2004; WESTON, BRIGHAM, 2001; ROSS, WESTERFIELD, JAFFE, 2002). No</w:t>
      </w:r>
      <w:r w:rsidRPr="00FB2FDB">
        <w:rPr>
          <w:rFonts w:ascii="Century Gothic" w:hAnsi="Century Gothic"/>
          <w:color w:val="FF0000"/>
        </w:rPr>
        <w:t xml:space="preserve"> </w:t>
      </w:r>
      <w:r w:rsidRPr="00FB2FDB">
        <w:rPr>
          <w:rFonts w:ascii="Century Gothic" w:hAnsi="Century Gothic"/>
        </w:rPr>
        <w:t>entanto, há de se considerar que nessa perspectiva, os gerentes financeiros admitem a necessidade de estoques de segurança, em níveis mínimos, de forma a atender a demanda pelos produtos e matérias primas da firma (ASSAF NETO</w:t>
      </w:r>
      <w:r w:rsidR="00C52BA9">
        <w:rPr>
          <w:rFonts w:ascii="Century Gothic" w:hAnsi="Century Gothic"/>
        </w:rPr>
        <w:t xml:space="preserve"> e</w:t>
      </w:r>
      <w:r w:rsidRPr="00FB2FDB">
        <w:rPr>
          <w:rFonts w:ascii="Century Gothic" w:hAnsi="Century Gothic"/>
        </w:rPr>
        <w:t xml:space="preserve"> SILVA, (1997).</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A partir dessa visão, a gestão de estoques, então, é decorrente da definição de políticas de compras e adoção de elementos de controle, a partir das decisões financeiras de investimentos (BODIE; MERTON, 2002). Os gerentes financeiros, nessa linha, querem evitar quantidades altas e excessivas </w:t>
      </w:r>
      <w:r w:rsidRPr="00FB2FDB">
        <w:rPr>
          <w:rFonts w:ascii="Century Gothic" w:hAnsi="Century Gothic"/>
        </w:rPr>
        <w:lastRenderedPageBreak/>
        <w:t>de estoques, principalmente, quando há lentidão no giro dos ativos, para evitar a redução da rentabilidade da empresa. Entretanto, eles reconhecem a dificuldade e o risco de obter uma sincronização perfeita entre a oferta e demanda ou produção de bens (BRAGA, 1989).</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Desse modo, os financeiros buscam analisar os estoques das organizações a partir da apuração dos seus custos e do nível máximo aceitável, de forma que níveis elevados não diminuam economicamente o desempenho da empresa (BREALEY; MYERS, 1992)  </w:t>
      </w:r>
    </w:p>
    <w:p w:rsidR="002E5B61" w:rsidRPr="00FB2FDB" w:rsidRDefault="002E5B61" w:rsidP="00FB2FDB">
      <w:pPr>
        <w:ind w:firstLine="709"/>
        <w:jc w:val="both"/>
        <w:rPr>
          <w:rFonts w:ascii="Century Gothic" w:hAnsi="Century Gothic"/>
        </w:rPr>
      </w:pPr>
      <w:r w:rsidRPr="00FB2FDB">
        <w:rPr>
          <w:rFonts w:ascii="Century Gothic" w:hAnsi="Century Gothic"/>
        </w:rPr>
        <w:t xml:space="preserve">Para Carpenter, </w:t>
      </w:r>
      <w:proofErr w:type="spellStart"/>
      <w:r w:rsidRPr="00FB2FDB">
        <w:rPr>
          <w:rFonts w:ascii="Century Gothic" w:hAnsi="Century Gothic"/>
        </w:rPr>
        <w:t>Fazzari</w:t>
      </w:r>
      <w:proofErr w:type="spellEnd"/>
      <w:r w:rsidRPr="00FB2FDB">
        <w:rPr>
          <w:rFonts w:ascii="Century Gothic" w:hAnsi="Century Gothic"/>
        </w:rPr>
        <w:t xml:space="preserve"> e </w:t>
      </w:r>
      <w:proofErr w:type="spellStart"/>
      <w:r w:rsidRPr="00FB2FDB">
        <w:rPr>
          <w:rFonts w:ascii="Century Gothic" w:hAnsi="Century Gothic"/>
        </w:rPr>
        <w:t>Petersen</w:t>
      </w:r>
      <w:proofErr w:type="spellEnd"/>
      <w:r w:rsidRPr="00FB2FDB">
        <w:rPr>
          <w:rFonts w:ascii="Century Gothic" w:hAnsi="Century Gothic"/>
        </w:rPr>
        <w:t xml:space="preserve"> (1994), os estoques normalmente são ajustados diante de flutuações financeiras enfrentadas pelas firmas. Em caso de restrições ao financiamento, os estoques sofrem reduções significativas, talvez porque o custo desse ajustamento seja reduzido. Os autores ainda aludem que as vendas variam mais do que a produção e que os estoques estão mais correlacionados às flutuações de vendas.</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De acordo com Assaf Neto (2007), os custos dos estoques podem ser classificados em duas </w:t>
      </w:r>
      <w:r w:rsidR="00190C93" w:rsidRPr="00FB2FDB">
        <w:rPr>
          <w:rFonts w:ascii="Century Gothic" w:hAnsi="Century Gothic"/>
        </w:rPr>
        <w:t>categorias: a primeira, relativa</w:t>
      </w:r>
      <w:r w:rsidRPr="00FB2FDB">
        <w:rPr>
          <w:rFonts w:ascii="Century Gothic" w:hAnsi="Century Gothic"/>
        </w:rPr>
        <w:t xml:space="preserve"> aos custos efetivos dos bens estocados, obtidos por meio de dados contábeis. E, a segunda, composta basicamente do que é conhecido como “custos evitáveis”, ou seja, “aqueles que podem variar de maneira direta ou inversamente proporcional às decisões de compra” (p.610), como por exemplo, custo de compra (de pedido ou preparação) e custo de manutenção.</w:t>
      </w:r>
    </w:p>
    <w:p w:rsidR="00341349" w:rsidRPr="00FB2FDB" w:rsidRDefault="00341349" w:rsidP="00FB2FDB">
      <w:pPr>
        <w:ind w:firstLine="709"/>
        <w:jc w:val="both"/>
        <w:rPr>
          <w:rFonts w:ascii="Century Gothic" w:hAnsi="Century Gothic"/>
        </w:rPr>
      </w:pPr>
    </w:p>
    <w:p w:rsidR="00DB5645" w:rsidRPr="00FB2FDB" w:rsidRDefault="00DB5645" w:rsidP="00FB2FDB">
      <w:pPr>
        <w:ind w:firstLine="709"/>
        <w:jc w:val="both"/>
        <w:rPr>
          <w:rFonts w:ascii="Century Gothic" w:hAnsi="Century Gothic"/>
        </w:rPr>
      </w:pPr>
      <w:proofErr w:type="spellStart"/>
      <w:r w:rsidRPr="00FB2FDB">
        <w:rPr>
          <w:rFonts w:ascii="Century Gothic" w:hAnsi="Century Gothic"/>
        </w:rPr>
        <w:t>Ehrenthal</w:t>
      </w:r>
      <w:proofErr w:type="spellEnd"/>
      <w:r w:rsidRPr="00FB2FDB">
        <w:rPr>
          <w:rFonts w:ascii="Century Gothic" w:hAnsi="Century Gothic"/>
        </w:rPr>
        <w:t xml:space="preserve">, </w:t>
      </w:r>
      <w:proofErr w:type="spellStart"/>
      <w:r w:rsidRPr="00FB2FDB">
        <w:rPr>
          <w:rFonts w:ascii="Century Gothic" w:hAnsi="Century Gothic"/>
        </w:rPr>
        <w:t>Honhon</w:t>
      </w:r>
      <w:proofErr w:type="spellEnd"/>
      <w:r w:rsidRPr="00FB2FDB">
        <w:rPr>
          <w:rFonts w:ascii="Century Gothic" w:hAnsi="Century Gothic"/>
        </w:rPr>
        <w:t xml:space="preserve"> e </w:t>
      </w:r>
      <w:r w:rsidR="00C52BA9">
        <w:rPr>
          <w:rFonts w:ascii="Century Gothic" w:hAnsi="Century Gothic"/>
        </w:rPr>
        <w:t xml:space="preserve">Van </w:t>
      </w:r>
      <w:proofErr w:type="spellStart"/>
      <w:r w:rsidRPr="00FB2FDB">
        <w:rPr>
          <w:rFonts w:ascii="Century Gothic" w:hAnsi="Century Gothic"/>
        </w:rPr>
        <w:t>Woensel</w:t>
      </w:r>
      <w:proofErr w:type="spellEnd"/>
      <w:r w:rsidRPr="00FB2FDB">
        <w:rPr>
          <w:rFonts w:ascii="Century Gothic" w:hAnsi="Century Gothic"/>
        </w:rPr>
        <w:t xml:space="preserve"> (2014)</w:t>
      </w:r>
      <w:r w:rsidR="00D92E08" w:rsidRPr="00FB2FDB">
        <w:rPr>
          <w:rFonts w:ascii="Century Gothic" w:hAnsi="Century Gothic"/>
        </w:rPr>
        <w:t>, baseados em um estudo desenvolvido em uma unidade de varejo que comercializa produtos de conveniência (alimentos prontos, bebidas, energéticos, cigarros, etc</w:t>
      </w:r>
      <w:r w:rsidR="00604A1E" w:rsidRPr="00FB2FDB">
        <w:rPr>
          <w:rFonts w:ascii="Century Gothic" w:hAnsi="Century Gothic"/>
        </w:rPr>
        <w:t>.</w:t>
      </w:r>
      <w:r w:rsidR="00D92E08" w:rsidRPr="00FB2FDB">
        <w:rPr>
          <w:rFonts w:ascii="Century Gothic" w:hAnsi="Century Gothic"/>
        </w:rPr>
        <w:t>),</w:t>
      </w:r>
      <w:r w:rsidRPr="00FB2FDB">
        <w:rPr>
          <w:rFonts w:ascii="Century Gothic" w:hAnsi="Century Gothic"/>
        </w:rPr>
        <w:t xml:space="preserve"> indicam </w:t>
      </w:r>
      <w:r w:rsidR="00D92E08" w:rsidRPr="00FB2FDB">
        <w:rPr>
          <w:rFonts w:ascii="Century Gothic" w:hAnsi="Century Gothic"/>
        </w:rPr>
        <w:t xml:space="preserve">que </w:t>
      </w:r>
      <w:r w:rsidRPr="00FB2FDB">
        <w:rPr>
          <w:rFonts w:ascii="Century Gothic" w:hAnsi="Century Gothic"/>
        </w:rPr>
        <w:t>ignorar as flutuações sazonais na política de suprimento pode acarretar elevações de custos no gerenciamento de estoques da ordem de 4,91 %</w:t>
      </w:r>
      <w:r w:rsidR="00D92E08" w:rsidRPr="00FB2FDB">
        <w:rPr>
          <w:rFonts w:ascii="Century Gothic" w:hAnsi="Century Gothic"/>
        </w:rPr>
        <w:t>.</w:t>
      </w:r>
    </w:p>
    <w:p w:rsidR="00341349" w:rsidRPr="00FB2FDB" w:rsidRDefault="00341349" w:rsidP="00FB2FDB">
      <w:pPr>
        <w:ind w:firstLine="709"/>
        <w:jc w:val="both"/>
        <w:rPr>
          <w:rFonts w:ascii="Century Gothic" w:hAnsi="Century Gothic"/>
        </w:rPr>
      </w:pPr>
      <w:r w:rsidRPr="00FB2FDB">
        <w:rPr>
          <w:rFonts w:ascii="Century Gothic" w:hAnsi="Century Gothic"/>
        </w:rPr>
        <w:t>Uma das formas comuns utilizadas pelas empresas para definir o volume de compra de um pedido é por meio do modelo de lote econômico de compra, conhecido como EOQ (</w:t>
      </w:r>
      <w:proofErr w:type="spellStart"/>
      <w:r w:rsidRPr="00FB2FDB">
        <w:rPr>
          <w:rFonts w:ascii="Century Gothic" w:hAnsi="Century Gothic"/>
        </w:rPr>
        <w:t>Economic</w:t>
      </w:r>
      <w:proofErr w:type="spellEnd"/>
      <w:r w:rsidRPr="00FB2FDB">
        <w:rPr>
          <w:rFonts w:ascii="Century Gothic" w:hAnsi="Century Gothic"/>
        </w:rPr>
        <w:t xml:space="preserve"> </w:t>
      </w:r>
      <w:proofErr w:type="spellStart"/>
      <w:r w:rsidRPr="00FB2FDB">
        <w:rPr>
          <w:rFonts w:ascii="Century Gothic" w:hAnsi="Century Gothic"/>
        </w:rPr>
        <w:t>Ordering</w:t>
      </w:r>
      <w:proofErr w:type="spellEnd"/>
      <w:r w:rsidRPr="00FB2FDB">
        <w:rPr>
          <w:rFonts w:ascii="Century Gothic" w:hAnsi="Century Gothic"/>
        </w:rPr>
        <w:t xml:space="preserve"> </w:t>
      </w:r>
      <w:proofErr w:type="spellStart"/>
      <w:r w:rsidRPr="00FB2FDB">
        <w:rPr>
          <w:rFonts w:ascii="Century Gothic" w:hAnsi="Century Gothic"/>
        </w:rPr>
        <w:t>Quantity</w:t>
      </w:r>
      <w:proofErr w:type="spellEnd"/>
      <w:r w:rsidRPr="00FB2FDB">
        <w:rPr>
          <w:rFonts w:ascii="Century Gothic" w:hAnsi="Century Gothic"/>
        </w:rPr>
        <w:t>) (ASSAF NETO, 2007). Nesse modelo, a empresa busca minimizar o custo total controlável do estoque. De acordo com Assaf Neto (2007), as premissas básicas desse modelo de lote econômico são: o volume do pedido não tem influência sobre o custo unitário; a demanda do estoque se caracteriza de maneira uniforme; o desenvolvimento do modelo se dá em condições de certeza; não existe demora dos produtos solicitados e, por último, não ocorrem limitações financeiras para aplicações em estoques.</w:t>
      </w:r>
    </w:p>
    <w:p w:rsidR="00341349" w:rsidRPr="00FB2FDB" w:rsidRDefault="00190C93" w:rsidP="00FB2FDB">
      <w:pPr>
        <w:ind w:firstLine="709"/>
        <w:jc w:val="both"/>
        <w:rPr>
          <w:rFonts w:ascii="Century Gothic" w:hAnsi="Century Gothic"/>
        </w:rPr>
      </w:pPr>
      <w:r w:rsidRPr="00FB2FDB">
        <w:rPr>
          <w:rFonts w:ascii="Century Gothic" w:hAnsi="Century Gothic"/>
        </w:rPr>
        <w:t>Além da influência sobre custos, o</w:t>
      </w:r>
      <w:r w:rsidR="00341349" w:rsidRPr="00FB2FDB">
        <w:rPr>
          <w:rFonts w:ascii="Century Gothic" w:hAnsi="Century Gothic"/>
        </w:rPr>
        <w:t xml:space="preserve">utros possíveis efeitos </w:t>
      </w:r>
      <w:r w:rsidRPr="00FB2FDB">
        <w:rPr>
          <w:rFonts w:ascii="Century Gothic" w:hAnsi="Century Gothic"/>
        </w:rPr>
        <w:t xml:space="preserve">da gestão de estoques </w:t>
      </w:r>
      <w:r w:rsidR="00341349" w:rsidRPr="00FB2FDB">
        <w:rPr>
          <w:rFonts w:ascii="Century Gothic" w:hAnsi="Century Gothic"/>
        </w:rPr>
        <w:t xml:space="preserve">podem ocorrer nos índices relacionados a lucratividade, endividamento e atividade, conforme discorrem sobre o assunto </w:t>
      </w:r>
      <w:proofErr w:type="spellStart"/>
      <w:r w:rsidR="00341349" w:rsidRPr="00FB2FDB">
        <w:rPr>
          <w:rFonts w:ascii="Century Gothic" w:hAnsi="Century Gothic"/>
        </w:rPr>
        <w:t>Brealey</w:t>
      </w:r>
      <w:proofErr w:type="spellEnd"/>
      <w:r w:rsidR="00341349" w:rsidRPr="00FB2FDB">
        <w:rPr>
          <w:rFonts w:ascii="Century Gothic" w:hAnsi="Century Gothic"/>
        </w:rPr>
        <w:t xml:space="preserve"> e Myers (1992), </w:t>
      </w:r>
      <w:proofErr w:type="spellStart"/>
      <w:r w:rsidR="00341349" w:rsidRPr="00FB2FDB">
        <w:rPr>
          <w:rFonts w:ascii="Century Gothic" w:hAnsi="Century Gothic"/>
        </w:rPr>
        <w:t>Gitman</w:t>
      </w:r>
      <w:proofErr w:type="spellEnd"/>
      <w:r w:rsidR="00341349" w:rsidRPr="00FB2FDB">
        <w:rPr>
          <w:rFonts w:ascii="Century Gothic" w:hAnsi="Century Gothic"/>
        </w:rPr>
        <w:t xml:space="preserve"> (2004), Ross</w:t>
      </w:r>
      <w:r w:rsidR="00341349" w:rsidRPr="00FB2FDB">
        <w:rPr>
          <w:rFonts w:ascii="Century Gothic" w:hAnsi="Century Gothic"/>
          <w:i/>
        </w:rPr>
        <w:t xml:space="preserve">, </w:t>
      </w:r>
      <w:proofErr w:type="spellStart"/>
      <w:r w:rsidR="00341349" w:rsidRPr="00FB2FDB">
        <w:rPr>
          <w:rFonts w:ascii="Century Gothic" w:hAnsi="Century Gothic"/>
        </w:rPr>
        <w:t>Westerfield</w:t>
      </w:r>
      <w:proofErr w:type="spellEnd"/>
      <w:r w:rsidR="00341349" w:rsidRPr="00FB2FDB">
        <w:rPr>
          <w:rFonts w:ascii="Century Gothic" w:hAnsi="Century Gothic"/>
        </w:rPr>
        <w:t xml:space="preserve"> e </w:t>
      </w:r>
      <w:proofErr w:type="spellStart"/>
      <w:r w:rsidR="00341349" w:rsidRPr="00FB2FDB">
        <w:rPr>
          <w:rFonts w:ascii="Century Gothic" w:hAnsi="Century Gothic"/>
        </w:rPr>
        <w:t>Jaffe</w:t>
      </w:r>
      <w:proofErr w:type="spellEnd"/>
      <w:r w:rsidR="00341349" w:rsidRPr="00FB2FDB">
        <w:rPr>
          <w:rFonts w:ascii="Century Gothic" w:hAnsi="Century Gothic"/>
        </w:rPr>
        <w:t xml:space="preserve"> (2002) e Weston e </w:t>
      </w:r>
      <w:proofErr w:type="spellStart"/>
      <w:r w:rsidR="00341349" w:rsidRPr="00FB2FDB">
        <w:rPr>
          <w:rFonts w:ascii="Century Gothic" w:hAnsi="Century Gothic"/>
        </w:rPr>
        <w:t>Brigham</w:t>
      </w:r>
      <w:proofErr w:type="spellEnd"/>
      <w:r w:rsidR="00341349" w:rsidRPr="00FB2FDB">
        <w:rPr>
          <w:rStyle w:val="Refdenotaderodap"/>
          <w:rFonts w:ascii="Century Gothic" w:hAnsi="Century Gothic"/>
        </w:rPr>
        <w:t xml:space="preserve"> </w:t>
      </w:r>
      <w:r w:rsidR="00341349" w:rsidRPr="00FB2FDB">
        <w:rPr>
          <w:rFonts w:ascii="Century Gothic" w:hAnsi="Century Gothic"/>
        </w:rPr>
        <w:t xml:space="preserve">(2001). </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Segundo esses mesmos autores, os índices de lucratividade, ou rentabilidade, medem a eficiência da empresa para gerar retornos. No caso específico do retorno sobre ativo total (ROA), mostra quanto a organização </w:t>
      </w:r>
      <w:r w:rsidRPr="00FB2FDB">
        <w:rPr>
          <w:rFonts w:ascii="Century Gothic" w:hAnsi="Century Gothic"/>
        </w:rPr>
        <w:lastRenderedPageBreak/>
        <w:t>gerou de lucro para cada unidade monetária de capital investido. De maneira geral, a manutenção de maiores indicadores de liquidez pode minar a rentabilidade, muito embora diversos outros fatores também costumam causar impactos consideráveis, especialmente aqueles relacionados à estratégia de longo prazo, como investimentos em ativos fixos e políticas voltadas ao crescimento da participação de mercado, além das condições macroeconômicas, em termos de renda média da população, taxa de juros, nível de preços e confiança do consumidor.</w:t>
      </w:r>
    </w:p>
    <w:p w:rsidR="00341349" w:rsidRPr="00FB2FDB" w:rsidRDefault="00341349" w:rsidP="00FB2FDB">
      <w:pPr>
        <w:ind w:firstLine="709"/>
        <w:jc w:val="both"/>
        <w:rPr>
          <w:rFonts w:ascii="Century Gothic" w:hAnsi="Century Gothic"/>
        </w:rPr>
      </w:pPr>
    </w:p>
    <w:p w:rsidR="00341349" w:rsidRPr="00FB2FDB" w:rsidRDefault="00FB2FDB" w:rsidP="00FB2FDB">
      <w:pPr>
        <w:jc w:val="both"/>
        <w:rPr>
          <w:rFonts w:ascii="Century Gothic" w:hAnsi="Century Gothic"/>
          <w:b/>
        </w:rPr>
      </w:pPr>
      <w:r w:rsidRPr="00FB2FDB">
        <w:rPr>
          <w:rFonts w:ascii="Century Gothic" w:hAnsi="Century Gothic"/>
          <w:b/>
        </w:rPr>
        <w:t>3 METODOLOGIA</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 xml:space="preserve">Trata-se de uma pesquisa de natureza descritiva, com abordagem quantitativa, conforme sugerem </w:t>
      </w:r>
      <w:proofErr w:type="spellStart"/>
      <w:r w:rsidRPr="00FB2FDB">
        <w:rPr>
          <w:rFonts w:ascii="Century Gothic" w:hAnsi="Century Gothic"/>
        </w:rPr>
        <w:t>Collis</w:t>
      </w:r>
      <w:proofErr w:type="spellEnd"/>
      <w:r w:rsidRPr="00FB2FDB">
        <w:rPr>
          <w:rFonts w:ascii="Century Gothic" w:hAnsi="Century Gothic"/>
        </w:rPr>
        <w:t xml:space="preserve"> e </w:t>
      </w:r>
      <w:proofErr w:type="spellStart"/>
      <w:r w:rsidRPr="00FB2FDB">
        <w:rPr>
          <w:rFonts w:ascii="Century Gothic" w:hAnsi="Century Gothic"/>
        </w:rPr>
        <w:t>Hussey</w:t>
      </w:r>
      <w:proofErr w:type="spellEnd"/>
      <w:r w:rsidRPr="00FB2FDB">
        <w:rPr>
          <w:rFonts w:ascii="Century Gothic" w:hAnsi="Century Gothic"/>
        </w:rPr>
        <w:t xml:space="preserve"> (2005), </w:t>
      </w:r>
      <w:proofErr w:type="spellStart"/>
      <w:r w:rsidRPr="00FB2FDB">
        <w:rPr>
          <w:rFonts w:ascii="Century Gothic" w:hAnsi="Century Gothic"/>
        </w:rPr>
        <w:t>Hair</w:t>
      </w:r>
      <w:proofErr w:type="spellEnd"/>
      <w:r w:rsidRPr="00FB2FDB">
        <w:rPr>
          <w:rFonts w:ascii="Century Gothic" w:hAnsi="Century Gothic"/>
        </w:rPr>
        <w:t xml:space="preserve"> et al (2005,</w:t>
      </w:r>
      <w:r w:rsidR="00F8393E">
        <w:rPr>
          <w:rFonts w:ascii="Century Gothic" w:hAnsi="Century Gothic"/>
        </w:rPr>
        <w:t xml:space="preserve"> </w:t>
      </w:r>
      <w:r w:rsidRPr="00FB2FDB">
        <w:rPr>
          <w:rFonts w:ascii="Century Gothic" w:hAnsi="Century Gothic"/>
        </w:rPr>
        <w:t xml:space="preserve">b) e </w:t>
      </w:r>
      <w:bookmarkStart w:id="0" w:name="_GoBack"/>
      <w:proofErr w:type="spellStart"/>
      <w:r w:rsidRPr="00FB2FDB">
        <w:rPr>
          <w:rFonts w:ascii="Century Gothic" w:hAnsi="Century Gothic"/>
        </w:rPr>
        <w:t>Malhotra</w:t>
      </w:r>
      <w:bookmarkEnd w:id="0"/>
      <w:proofErr w:type="spellEnd"/>
      <w:r w:rsidRPr="00FB2FDB">
        <w:rPr>
          <w:rFonts w:ascii="Century Gothic" w:hAnsi="Century Gothic"/>
        </w:rPr>
        <w:t xml:space="preserve"> (2001), na medida em que procura-se descrever as relações entre variáveis métricas. </w:t>
      </w:r>
    </w:p>
    <w:p w:rsidR="00341349" w:rsidRPr="00FB2FDB" w:rsidRDefault="00341349" w:rsidP="0011339F">
      <w:pPr>
        <w:ind w:firstLine="709"/>
        <w:jc w:val="both"/>
        <w:rPr>
          <w:rFonts w:ascii="Century Gothic" w:hAnsi="Century Gothic"/>
        </w:rPr>
      </w:pPr>
      <w:r w:rsidRPr="00FB2FDB">
        <w:rPr>
          <w:rFonts w:ascii="Century Gothic" w:hAnsi="Century Gothic"/>
        </w:rPr>
        <w:t xml:space="preserve">Inicialmente, com base em dados obtidos em IBGE (2010), foram estimados os índices sazonais de produção, conforme método da média móvel de tendência central, segundo proposição de Hoffmann (1991). Os dados em análise correspondem aos índices de produção física industrial, com base fixa mensal, sem ajuste sazonal.  </w:t>
      </w:r>
    </w:p>
    <w:p w:rsidR="00341349" w:rsidRPr="00FB2FDB" w:rsidRDefault="00341349" w:rsidP="00FB2FDB">
      <w:pPr>
        <w:ind w:firstLine="709"/>
        <w:jc w:val="both"/>
        <w:rPr>
          <w:rFonts w:ascii="Century Gothic" w:hAnsi="Century Gothic"/>
        </w:rPr>
      </w:pPr>
      <w:r w:rsidRPr="00FB2FDB">
        <w:rPr>
          <w:rFonts w:ascii="Century Gothic" w:hAnsi="Century Gothic"/>
        </w:rPr>
        <w:t>Dentre os diversos ramos de atividade econômica avaliados, foram selecionados quatro que apresentaram efeitos sazonais mais intensos e quatro que apresentaram pequenas variações sazonais.</w:t>
      </w:r>
    </w:p>
    <w:p w:rsidR="00341349" w:rsidRDefault="00341349" w:rsidP="00FB2FDB">
      <w:pPr>
        <w:ind w:firstLine="709"/>
        <w:jc w:val="both"/>
        <w:rPr>
          <w:rFonts w:ascii="Century Gothic" w:hAnsi="Century Gothic"/>
        </w:rPr>
      </w:pPr>
      <w:r w:rsidRPr="00FB2FDB">
        <w:rPr>
          <w:rFonts w:ascii="Century Gothic" w:hAnsi="Century Gothic"/>
        </w:rPr>
        <w:t xml:space="preserve">Posteriormente, foram coletados dados trimestrais das demonstrações financeiras de quatro organizações para cada grupo, em relação à sazonalidade das vendas, conforme divisão realizada na etapa anterior. O período avaliado está compreendido entre o quarto trimestre de 2001 e o terceiro trimestre de 2009, perfazendo um total de 256 observações, 128 para o grupo com alta sazonalidade de produção e 128 para o grupo com baixa sazonalidade. </w:t>
      </w:r>
    </w:p>
    <w:p w:rsidR="00FB2FDB" w:rsidRPr="00FB2FDB" w:rsidRDefault="00FB2FDB" w:rsidP="00FB2FDB">
      <w:pPr>
        <w:ind w:firstLine="709"/>
        <w:jc w:val="both"/>
        <w:rPr>
          <w:rFonts w:ascii="Century Gothic" w:hAnsi="Century Gothic"/>
        </w:rPr>
      </w:pPr>
    </w:p>
    <w:p w:rsidR="0011339F" w:rsidRDefault="00341349" w:rsidP="00FB2FDB">
      <w:pPr>
        <w:ind w:firstLine="709"/>
        <w:jc w:val="both"/>
        <w:rPr>
          <w:rFonts w:ascii="Century Gothic" w:hAnsi="Century Gothic"/>
        </w:rPr>
      </w:pPr>
      <w:r w:rsidRPr="00FB2FDB">
        <w:rPr>
          <w:rFonts w:ascii="Century Gothic" w:hAnsi="Century Gothic"/>
        </w:rPr>
        <w:t>As variáveis em análise são:</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 </w:t>
      </w:r>
    </w:p>
    <w:p w:rsidR="00341349" w:rsidRPr="00FB2FDB" w:rsidRDefault="00FB2FDB" w:rsidP="00FB2FDB">
      <w:pPr>
        <w:ind w:left="709"/>
        <w:jc w:val="both"/>
        <w:rPr>
          <w:rFonts w:ascii="Century Gothic" w:hAnsi="Century Gothic"/>
        </w:rPr>
      </w:pPr>
      <w:r>
        <w:rPr>
          <w:rFonts w:ascii="Century Gothic" w:hAnsi="Century Gothic"/>
        </w:rPr>
        <w:t>Índice de estoque –</w:t>
      </w:r>
      <w:r w:rsidR="0011339F">
        <w:rPr>
          <w:rFonts w:ascii="Century Gothic" w:hAnsi="Century Gothic"/>
        </w:rPr>
        <w:t xml:space="preserve"> </w:t>
      </w:r>
      <w:r>
        <w:rPr>
          <w:rFonts w:ascii="Century Gothic" w:hAnsi="Century Gothic"/>
        </w:rPr>
        <w:t>IE –</w:t>
      </w:r>
      <w:r w:rsidR="00341349" w:rsidRPr="00FB2FDB">
        <w:rPr>
          <w:rFonts w:ascii="Century Gothic" w:hAnsi="Century Gothic"/>
        </w:rPr>
        <w:t>, calculado pela razão entre estoques e ativo circulante;</w:t>
      </w:r>
    </w:p>
    <w:p w:rsidR="0011339F" w:rsidRDefault="0011339F" w:rsidP="00FB2FDB">
      <w:pPr>
        <w:ind w:left="709"/>
        <w:jc w:val="both"/>
        <w:rPr>
          <w:rFonts w:ascii="Century Gothic" w:hAnsi="Century Gothic"/>
        </w:rPr>
      </w:pPr>
    </w:p>
    <w:p w:rsidR="00341349" w:rsidRDefault="00341349" w:rsidP="00FB2FDB">
      <w:pPr>
        <w:ind w:left="709"/>
        <w:jc w:val="both"/>
        <w:rPr>
          <w:rFonts w:ascii="Century Gothic" w:hAnsi="Century Gothic"/>
        </w:rPr>
      </w:pPr>
      <w:r w:rsidRPr="00FB2FDB">
        <w:rPr>
          <w:rFonts w:ascii="Century Gothic" w:hAnsi="Century Gothic"/>
        </w:rPr>
        <w:t>Retorno sobre ativo total –</w:t>
      </w:r>
      <w:r w:rsidR="00FB2FDB">
        <w:rPr>
          <w:rFonts w:ascii="Century Gothic" w:hAnsi="Century Gothic"/>
        </w:rPr>
        <w:t xml:space="preserve"> </w:t>
      </w:r>
      <w:r w:rsidRPr="00FB2FDB">
        <w:rPr>
          <w:rFonts w:ascii="Century Gothic" w:hAnsi="Century Gothic"/>
        </w:rPr>
        <w:t>ROA</w:t>
      </w:r>
      <w:r w:rsidR="00FB2FDB">
        <w:rPr>
          <w:rFonts w:ascii="Century Gothic" w:hAnsi="Century Gothic"/>
        </w:rPr>
        <w:t xml:space="preserve"> –</w:t>
      </w:r>
      <w:r w:rsidRPr="00FB2FDB">
        <w:rPr>
          <w:rFonts w:ascii="Century Gothic" w:hAnsi="Century Gothic"/>
        </w:rPr>
        <w:t>, medido pela razão entre o lucro líquido e o ativo total. Os valores foram obtidos no banco de dados disponível no website &lt;www.fundamentus.com.br&gt;.</w:t>
      </w:r>
    </w:p>
    <w:p w:rsidR="00FB2FDB" w:rsidRPr="00FB2FDB" w:rsidRDefault="00FB2FDB" w:rsidP="00FB2FDB">
      <w:pPr>
        <w:ind w:left="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 xml:space="preserve">De posse dos dados, o modelo de análise contemplou duas etapas distintas. Na primeira delas, com base em Análise de Variância –ANOVA-, </w:t>
      </w:r>
      <w:r w:rsidR="00B03116" w:rsidRPr="00FB2FDB">
        <w:rPr>
          <w:rFonts w:ascii="Century Gothic" w:hAnsi="Century Gothic"/>
        </w:rPr>
        <w:t xml:space="preserve">conforme proposto por </w:t>
      </w:r>
      <w:proofErr w:type="spellStart"/>
      <w:r w:rsidR="00B03116" w:rsidRPr="00FB2FDB">
        <w:rPr>
          <w:rFonts w:ascii="Century Gothic" w:hAnsi="Century Gothic"/>
        </w:rPr>
        <w:t>Hair</w:t>
      </w:r>
      <w:proofErr w:type="spellEnd"/>
      <w:r w:rsidR="00B03116" w:rsidRPr="00FB2FDB">
        <w:rPr>
          <w:rFonts w:ascii="Century Gothic" w:hAnsi="Century Gothic"/>
        </w:rPr>
        <w:t xml:space="preserve"> et al (2005,</w:t>
      </w:r>
      <w:r w:rsidR="00F8393E">
        <w:rPr>
          <w:rFonts w:ascii="Century Gothic" w:hAnsi="Century Gothic"/>
        </w:rPr>
        <w:t xml:space="preserve"> </w:t>
      </w:r>
      <w:r w:rsidR="00B03116" w:rsidRPr="00FB2FDB">
        <w:rPr>
          <w:rFonts w:ascii="Century Gothic" w:hAnsi="Century Gothic"/>
        </w:rPr>
        <w:t xml:space="preserve">a) e </w:t>
      </w:r>
      <w:proofErr w:type="spellStart"/>
      <w:r w:rsidR="00B03116" w:rsidRPr="00FB2FDB">
        <w:rPr>
          <w:rFonts w:ascii="Century Gothic" w:hAnsi="Century Gothic"/>
        </w:rPr>
        <w:t>Sharma</w:t>
      </w:r>
      <w:proofErr w:type="spellEnd"/>
      <w:r w:rsidR="00B03116" w:rsidRPr="00FB2FDB">
        <w:rPr>
          <w:rFonts w:ascii="Century Gothic" w:hAnsi="Century Gothic"/>
        </w:rPr>
        <w:t xml:space="preserve"> (1996), </w:t>
      </w:r>
      <w:r w:rsidRPr="00FB2FDB">
        <w:rPr>
          <w:rFonts w:ascii="Century Gothic" w:hAnsi="Century Gothic"/>
        </w:rPr>
        <w:t>foi avaliada a existência de diferenças entre os estoques dos dois grupos em questão e, dentro de cada grupo, diferenças em função do trimestre</w:t>
      </w:r>
      <w:r w:rsidR="00B03116" w:rsidRPr="00FB2FDB">
        <w:rPr>
          <w:rFonts w:ascii="Century Gothic" w:hAnsi="Century Gothic"/>
        </w:rPr>
        <w:t>.</w:t>
      </w:r>
      <w:r w:rsidRPr="00FB2FDB">
        <w:rPr>
          <w:rFonts w:ascii="Century Gothic" w:hAnsi="Century Gothic"/>
        </w:rPr>
        <w:t xml:space="preserve"> </w:t>
      </w:r>
    </w:p>
    <w:p w:rsidR="00341349" w:rsidRPr="00FB2FDB" w:rsidRDefault="00341349" w:rsidP="00FB2FDB">
      <w:pPr>
        <w:ind w:firstLine="709"/>
        <w:jc w:val="both"/>
        <w:rPr>
          <w:rFonts w:ascii="Century Gothic" w:hAnsi="Century Gothic"/>
        </w:rPr>
      </w:pPr>
      <w:r w:rsidRPr="00FB2FDB">
        <w:rPr>
          <w:rFonts w:ascii="Century Gothic" w:hAnsi="Century Gothic"/>
        </w:rPr>
        <w:lastRenderedPageBreak/>
        <w:t>Na segunda, foram estimadas duas equações de Regressão Linear Simples, uma para cada grupo, procurando avaliar a influência do índice de estoque sobre o retorno sobre o ativo total.</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Com base nos resultados das regressões, foi aplicado o Teste de </w:t>
      </w:r>
      <w:proofErr w:type="spellStart"/>
      <w:r w:rsidRPr="00FB2FDB">
        <w:rPr>
          <w:rFonts w:ascii="Century Gothic" w:hAnsi="Century Gothic"/>
        </w:rPr>
        <w:t>Chow</w:t>
      </w:r>
      <w:proofErr w:type="spellEnd"/>
      <w:r w:rsidRPr="00FB2FDB">
        <w:rPr>
          <w:rFonts w:ascii="Century Gothic" w:hAnsi="Century Gothic"/>
        </w:rPr>
        <w:t xml:space="preserve"> para comparação entre os coeficientes, segundo procedimento apresentado por </w:t>
      </w:r>
      <w:proofErr w:type="spellStart"/>
      <w:r w:rsidRPr="00FB2FDB">
        <w:rPr>
          <w:rFonts w:ascii="Century Gothic" w:hAnsi="Century Gothic"/>
        </w:rPr>
        <w:t>Gujarati</w:t>
      </w:r>
      <w:proofErr w:type="spellEnd"/>
      <w:r w:rsidRPr="00FB2FDB">
        <w:rPr>
          <w:rFonts w:ascii="Century Gothic" w:hAnsi="Century Gothic"/>
        </w:rPr>
        <w:t xml:space="preserve"> (2000), o que permitirá ajuizar se os estoques têm impactos distintos sobre a rentabilidade, em função da variabilidade de vendas.</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A verificação dos pressupostos para a ANOVA e para os modelos de regressão seguiu os procedimentos indicados por </w:t>
      </w:r>
      <w:proofErr w:type="spellStart"/>
      <w:r w:rsidRPr="00FB2FDB">
        <w:rPr>
          <w:rFonts w:ascii="Century Gothic" w:hAnsi="Century Gothic"/>
        </w:rPr>
        <w:t>Hair</w:t>
      </w:r>
      <w:proofErr w:type="spellEnd"/>
      <w:r w:rsidRPr="00FB2FDB">
        <w:rPr>
          <w:rFonts w:ascii="Century Gothic" w:hAnsi="Century Gothic"/>
        </w:rPr>
        <w:t xml:space="preserve"> et al (2005,</w:t>
      </w:r>
      <w:r w:rsidR="00F8393E">
        <w:rPr>
          <w:rFonts w:ascii="Century Gothic" w:hAnsi="Century Gothic"/>
        </w:rPr>
        <w:t xml:space="preserve"> </w:t>
      </w:r>
      <w:r w:rsidRPr="00FB2FDB">
        <w:rPr>
          <w:rFonts w:ascii="Century Gothic" w:hAnsi="Century Gothic"/>
        </w:rPr>
        <w:t xml:space="preserve">a) e </w:t>
      </w:r>
      <w:proofErr w:type="spellStart"/>
      <w:r w:rsidRPr="00FB2FDB">
        <w:rPr>
          <w:rFonts w:ascii="Century Gothic" w:hAnsi="Century Gothic"/>
        </w:rPr>
        <w:t>Sharma</w:t>
      </w:r>
      <w:proofErr w:type="spellEnd"/>
      <w:r w:rsidRPr="00FB2FDB">
        <w:rPr>
          <w:rFonts w:ascii="Century Gothic" w:hAnsi="Century Gothic"/>
        </w:rPr>
        <w:t xml:space="preserve"> (1996). A normalidade </w:t>
      </w:r>
      <w:proofErr w:type="spellStart"/>
      <w:r w:rsidRPr="00FB2FDB">
        <w:rPr>
          <w:rFonts w:ascii="Century Gothic" w:hAnsi="Century Gothic"/>
        </w:rPr>
        <w:t>univariada</w:t>
      </w:r>
      <w:proofErr w:type="spellEnd"/>
      <w:r w:rsidRPr="00FB2FDB">
        <w:rPr>
          <w:rFonts w:ascii="Century Gothic" w:hAnsi="Century Gothic"/>
        </w:rPr>
        <w:t xml:space="preserve"> dos dados foi avaliada pelos Testes de Shapiro-</w:t>
      </w:r>
      <w:proofErr w:type="spellStart"/>
      <w:r w:rsidRPr="00FB2FDB">
        <w:rPr>
          <w:rFonts w:ascii="Century Gothic" w:hAnsi="Century Gothic"/>
        </w:rPr>
        <w:t>Wilks</w:t>
      </w:r>
      <w:proofErr w:type="spellEnd"/>
      <w:r w:rsidRPr="00FB2FDB">
        <w:rPr>
          <w:rFonts w:ascii="Century Gothic" w:hAnsi="Century Gothic"/>
        </w:rPr>
        <w:t xml:space="preserve"> e </w:t>
      </w:r>
      <w:proofErr w:type="spellStart"/>
      <w:r w:rsidRPr="00FB2FDB">
        <w:rPr>
          <w:rFonts w:ascii="Century Gothic" w:hAnsi="Century Gothic"/>
        </w:rPr>
        <w:t>Kolmogorov-Smirnov</w:t>
      </w:r>
      <w:proofErr w:type="spellEnd"/>
      <w:r w:rsidRPr="00FB2FDB">
        <w:rPr>
          <w:rFonts w:ascii="Century Gothic" w:hAnsi="Century Gothic"/>
        </w:rPr>
        <w:t xml:space="preserve"> e a </w:t>
      </w:r>
      <w:proofErr w:type="spellStart"/>
      <w:r w:rsidRPr="00FB2FDB">
        <w:rPr>
          <w:rFonts w:ascii="Century Gothic" w:hAnsi="Century Gothic"/>
        </w:rPr>
        <w:t>homoscedasticidade</w:t>
      </w:r>
      <w:proofErr w:type="spellEnd"/>
      <w:r w:rsidRPr="00FB2FDB">
        <w:rPr>
          <w:rFonts w:ascii="Century Gothic" w:hAnsi="Century Gothic"/>
        </w:rPr>
        <w:t xml:space="preserve"> dos dados pelo Teste de </w:t>
      </w:r>
      <w:proofErr w:type="spellStart"/>
      <w:r w:rsidRPr="00FB2FDB">
        <w:rPr>
          <w:rFonts w:ascii="Century Gothic" w:hAnsi="Century Gothic"/>
        </w:rPr>
        <w:t>Levene</w:t>
      </w:r>
      <w:proofErr w:type="spellEnd"/>
      <w:r w:rsidRPr="00FB2FDB">
        <w:rPr>
          <w:rFonts w:ascii="Century Gothic" w:hAnsi="Century Gothic"/>
        </w:rPr>
        <w:t>. Em se tratando dos resíduos, foi utilizada a análise gráfica dos termos de erro.</w:t>
      </w:r>
    </w:p>
    <w:p w:rsidR="00341349" w:rsidRPr="00FB2FDB" w:rsidRDefault="00341349" w:rsidP="00FB2FDB">
      <w:pPr>
        <w:ind w:firstLine="709"/>
        <w:jc w:val="both"/>
        <w:rPr>
          <w:rFonts w:ascii="Century Gothic" w:hAnsi="Century Gothic"/>
        </w:rPr>
      </w:pPr>
    </w:p>
    <w:p w:rsidR="00341349" w:rsidRPr="00FB2FDB" w:rsidRDefault="00FB2FDB" w:rsidP="00FB2FDB">
      <w:pPr>
        <w:jc w:val="both"/>
        <w:rPr>
          <w:rFonts w:ascii="Century Gothic" w:hAnsi="Century Gothic"/>
          <w:b/>
        </w:rPr>
      </w:pPr>
      <w:r>
        <w:rPr>
          <w:rFonts w:ascii="Century Gothic" w:hAnsi="Century Gothic"/>
          <w:b/>
        </w:rPr>
        <w:t>4</w:t>
      </w:r>
      <w:r w:rsidRPr="00FB2FDB">
        <w:rPr>
          <w:rFonts w:ascii="Century Gothic" w:hAnsi="Century Gothic"/>
          <w:b/>
        </w:rPr>
        <w:t xml:space="preserve"> RESULTADOS</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 xml:space="preserve">Os resultados serão apresentados de acordo com a </w:t>
      </w:r>
      <w:r w:rsidR="00D21749" w:rsidRPr="00FB2FDB">
        <w:rPr>
          <w:rFonts w:ascii="Century Gothic" w:hAnsi="Century Gothic"/>
        </w:rPr>
        <w:t>sequência</w:t>
      </w:r>
      <w:r w:rsidRPr="00FB2FDB">
        <w:rPr>
          <w:rFonts w:ascii="Century Gothic" w:hAnsi="Century Gothic"/>
        </w:rPr>
        <w:t xml:space="preserve"> dos cálculos, conforme roteiro: estatísticas descritivas; identificação dos padrões sazonais de atividade; teste de diferença entre os estoques em função da maior, ou menor, sazonalidade de produção, teste de diferenças entre as médias dos estoques por período e análise da influência dos estoques sobre o lucro.</w:t>
      </w:r>
      <w:r w:rsidR="00FB2FDB">
        <w:rPr>
          <w:rFonts w:ascii="Century Gothic" w:hAnsi="Century Gothic"/>
        </w:rPr>
        <w:t xml:space="preserve"> </w:t>
      </w:r>
      <w:r w:rsidRPr="00FB2FDB">
        <w:rPr>
          <w:rFonts w:ascii="Century Gothic" w:hAnsi="Century Gothic"/>
        </w:rPr>
        <w:t>Inicialmente, as estatísti</w:t>
      </w:r>
      <w:r w:rsidR="00FB2FDB">
        <w:rPr>
          <w:rFonts w:ascii="Century Gothic" w:hAnsi="Century Gothic"/>
        </w:rPr>
        <w:t>cas descritivas dos 2 grupos s</w:t>
      </w:r>
      <w:r w:rsidRPr="00FB2FDB">
        <w:rPr>
          <w:rFonts w:ascii="Century Gothic" w:hAnsi="Century Gothic"/>
        </w:rPr>
        <w:t>ão mostradas na Tabela 1.</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Tabela 1. Estatísticas Descritivas</w:t>
      </w:r>
    </w:p>
    <w:tbl>
      <w:tblPr>
        <w:tblW w:w="0" w:type="auto"/>
        <w:tblBorders>
          <w:top w:val="single" w:sz="12" w:space="0" w:color="auto"/>
          <w:bottom w:val="single" w:sz="12" w:space="0" w:color="auto"/>
        </w:tblBorders>
        <w:tblLook w:val="01E0" w:firstRow="1" w:lastRow="1" w:firstColumn="1" w:lastColumn="1" w:noHBand="0" w:noVBand="0"/>
      </w:tblPr>
      <w:tblGrid>
        <w:gridCol w:w="1827"/>
        <w:gridCol w:w="1800"/>
        <w:gridCol w:w="1822"/>
        <w:gridCol w:w="1800"/>
        <w:gridCol w:w="1823"/>
      </w:tblGrid>
      <w:tr w:rsidR="00341349" w:rsidRPr="00FB2FDB" w:rsidTr="00D72820">
        <w:tc>
          <w:tcPr>
            <w:tcW w:w="1842" w:type="dxa"/>
            <w:vMerge w:val="restart"/>
            <w:tcBorders>
              <w:top w:val="single" w:sz="12" w:space="0" w:color="auto"/>
              <w:bottom w:val="single" w:sz="8"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Variável</w:t>
            </w:r>
          </w:p>
        </w:tc>
        <w:tc>
          <w:tcPr>
            <w:tcW w:w="3684" w:type="dxa"/>
            <w:gridSpan w:val="2"/>
            <w:tcBorders>
              <w:top w:val="single" w:sz="12" w:space="0" w:color="auto"/>
              <w:bottom w:val="single" w:sz="8"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Grupo 1</w:t>
            </w:r>
          </w:p>
        </w:tc>
        <w:tc>
          <w:tcPr>
            <w:tcW w:w="3686" w:type="dxa"/>
            <w:gridSpan w:val="2"/>
            <w:tcBorders>
              <w:top w:val="single" w:sz="12" w:space="0" w:color="auto"/>
              <w:bottom w:val="single" w:sz="8"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Grupo 2</w:t>
            </w:r>
          </w:p>
        </w:tc>
      </w:tr>
      <w:tr w:rsidR="00341349" w:rsidRPr="00FB2FDB" w:rsidTr="00D72820">
        <w:tc>
          <w:tcPr>
            <w:tcW w:w="1842" w:type="dxa"/>
            <w:vMerge/>
            <w:tcBorders>
              <w:top w:val="single" w:sz="8" w:space="0" w:color="auto"/>
              <w:bottom w:val="single" w:sz="12" w:space="0" w:color="auto"/>
            </w:tcBorders>
          </w:tcPr>
          <w:p w:rsidR="00341349" w:rsidRPr="00FB2FDB" w:rsidRDefault="00341349" w:rsidP="000B423A">
            <w:pPr>
              <w:ind w:firstLine="709"/>
              <w:jc w:val="center"/>
              <w:rPr>
                <w:rFonts w:ascii="Century Gothic" w:hAnsi="Century Gothic"/>
                <w:sz w:val="20"/>
                <w:szCs w:val="20"/>
              </w:rPr>
            </w:pPr>
          </w:p>
        </w:tc>
        <w:tc>
          <w:tcPr>
            <w:tcW w:w="1842" w:type="dxa"/>
            <w:tcBorders>
              <w:top w:val="single" w:sz="8" w:space="0" w:color="auto"/>
              <w:bottom w:val="single" w:sz="12"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Média</w:t>
            </w:r>
          </w:p>
        </w:tc>
        <w:tc>
          <w:tcPr>
            <w:tcW w:w="1842" w:type="dxa"/>
            <w:tcBorders>
              <w:top w:val="single" w:sz="8" w:space="0" w:color="auto"/>
              <w:bottom w:val="single" w:sz="12"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Coeficiente de variação</w:t>
            </w:r>
          </w:p>
        </w:tc>
        <w:tc>
          <w:tcPr>
            <w:tcW w:w="1843" w:type="dxa"/>
            <w:tcBorders>
              <w:top w:val="single" w:sz="8" w:space="0" w:color="auto"/>
              <w:bottom w:val="single" w:sz="12"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Média</w:t>
            </w:r>
          </w:p>
        </w:tc>
        <w:tc>
          <w:tcPr>
            <w:tcW w:w="1843" w:type="dxa"/>
            <w:tcBorders>
              <w:top w:val="single" w:sz="8" w:space="0" w:color="auto"/>
              <w:bottom w:val="single" w:sz="12"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Coeficiente de variação</w:t>
            </w:r>
          </w:p>
        </w:tc>
      </w:tr>
      <w:tr w:rsidR="00341349" w:rsidRPr="00FB2FDB" w:rsidTr="00D72820">
        <w:tc>
          <w:tcPr>
            <w:tcW w:w="1842" w:type="dxa"/>
            <w:tcBorders>
              <w:top w:val="single" w:sz="12"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Índice de estoque</w:t>
            </w:r>
          </w:p>
        </w:tc>
        <w:tc>
          <w:tcPr>
            <w:tcW w:w="1842" w:type="dxa"/>
            <w:tcBorders>
              <w:top w:val="single" w:sz="12"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0,3023</w:t>
            </w:r>
          </w:p>
        </w:tc>
        <w:tc>
          <w:tcPr>
            <w:tcW w:w="1842" w:type="dxa"/>
            <w:tcBorders>
              <w:top w:val="single" w:sz="12"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0,5048</w:t>
            </w:r>
          </w:p>
        </w:tc>
        <w:tc>
          <w:tcPr>
            <w:tcW w:w="1843" w:type="dxa"/>
            <w:tcBorders>
              <w:top w:val="single" w:sz="12"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0,3482</w:t>
            </w:r>
          </w:p>
        </w:tc>
        <w:tc>
          <w:tcPr>
            <w:tcW w:w="1843" w:type="dxa"/>
            <w:tcBorders>
              <w:top w:val="single" w:sz="12"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2,2714</w:t>
            </w:r>
          </w:p>
        </w:tc>
      </w:tr>
      <w:tr w:rsidR="00341349" w:rsidRPr="00FB2FDB" w:rsidTr="00D72820">
        <w:tc>
          <w:tcPr>
            <w:tcW w:w="1842"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ROA</w:t>
            </w:r>
          </w:p>
        </w:tc>
        <w:tc>
          <w:tcPr>
            <w:tcW w:w="1842"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0,0285</w:t>
            </w:r>
          </w:p>
        </w:tc>
        <w:tc>
          <w:tcPr>
            <w:tcW w:w="1842"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1,2943</w:t>
            </w:r>
          </w:p>
        </w:tc>
        <w:tc>
          <w:tcPr>
            <w:tcW w:w="1843"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0,0095</w:t>
            </w:r>
          </w:p>
        </w:tc>
        <w:tc>
          <w:tcPr>
            <w:tcW w:w="1843"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2,8701</w:t>
            </w:r>
          </w:p>
        </w:tc>
      </w:tr>
      <w:tr w:rsidR="00341349" w:rsidRPr="00FB2FDB" w:rsidTr="00D72820">
        <w:tc>
          <w:tcPr>
            <w:tcW w:w="1842"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Observações</w:t>
            </w:r>
          </w:p>
        </w:tc>
        <w:tc>
          <w:tcPr>
            <w:tcW w:w="1842"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128</w:t>
            </w:r>
          </w:p>
        </w:tc>
        <w:tc>
          <w:tcPr>
            <w:tcW w:w="1842"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128</w:t>
            </w:r>
          </w:p>
        </w:tc>
        <w:tc>
          <w:tcPr>
            <w:tcW w:w="1843"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128</w:t>
            </w:r>
          </w:p>
        </w:tc>
        <w:tc>
          <w:tcPr>
            <w:tcW w:w="1843"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128</w:t>
            </w:r>
          </w:p>
        </w:tc>
      </w:tr>
    </w:tbl>
    <w:p w:rsidR="00341349" w:rsidRPr="00F8393E" w:rsidRDefault="00F8393E" w:rsidP="00FB2FDB">
      <w:pPr>
        <w:ind w:firstLine="709"/>
        <w:jc w:val="both"/>
        <w:rPr>
          <w:rFonts w:ascii="Century Gothic" w:hAnsi="Century Gothic"/>
          <w:sz w:val="20"/>
          <w:szCs w:val="20"/>
        </w:rPr>
      </w:pPr>
      <w:r w:rsidRPr="00F8393E">
        <w:rPr>
          <w:rFonts w:ascii="Century Gothic" w:hAnsi="Century Gothic"/>
          <w:sz w:val="20"/>
          <w:szCs w:val="20"/>
        </w:rPr>
        <w:t>Fonte: Elaborada pelos autores.</w:t>
      </w:r>
    </w:p>
    <w:p w:rsidR="00F8393E" w:rsidRPr="00FB2FDB" w:rsidRDefault="00F8393E"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Para as duas variáveis em análise, constata-se que os coeficientes de variação são muito superiores para os dados do grupo 2, com maior sazonalidade. Os estoques são menores no grupo 1, exatamente o que apresenta menores flutuações de atividade, o que está de acordo com os pressupostos teóricos</w:t>
      </w:r>
      <w:r w:rsidR="00B03116" w:rsidRPr="00FB2FDB">
        <w:rPr>
          <w:rFonts w:ascii="Century Gothic" w:hAnsi="Century Gothic"/>
        </w:rPr>
        <w:t xml:space="preserve"> apresentados</w:t>
      </w:r>
      <w:r w:rsidRPr="00FB2FDB">
        <w:rPr>
          <w:rFonts w:ascii="Century Gothic" w:hAnsi="Century Gothic"/>
        </w:rPr>
        <w:t xml:space="preserve">. </w:t>
      </w:r>
    </w:p>
    <w:p w:rsidR="00B03116" w:rsidRPr="00FB2FDB" w:rsidRDefault="00341349" w:rsidP="0011339F">
      <w:pPr>
        <w:ind w:firstLine="709"/>
        <w:jc w:val="both"/>
        <w:rPr>
          <w:rFonts w:ascii="Century Gothic" w:hAnsi="Century Gothic"/>
        </w:rPr>
      </w:pPr>
      <w:r w:rsidRPr="00FB2FDB">
        <w:rPr>
          <w:rFonts w:ascii="Century Gothic" w:hAnsi="Century Gothic"/>
        </w:rPr>
        <w:t>Por outro lado, a taxa de retorno do grupo 1 é bem superior, mas não se pode relacionar</w:t>
      </w:r>
      <w:r w:rsidR="00B03116" w:rsidRPr="00FB2FDB">
        <w:rPr>
          <w:rFonts w:ascii="Century Gothic" w:hAnsi="Century Gothic"/>
        </w:rPr>
        <w:t>, a princípio,</w:t>
      </w:r>
      <w:r w:rsidRPr="00FB2FDB">
        <w:rPr>
          <w:rFonts w:ascii="Century Gothic" w:hAnsi="Century Gothic"/>
        </w:rPr>
        <w:t xml:space="preserve"> esse fato ao menor volume de estoque, unicamente, já que muitas outras variáveis são importantes para determinar a rentabilidade das empresas. Porém, o maior investimento em estoques pode estar colaborando para a menor lucratividade</w:t>
      </w:r>
      <w:r w:rsidR="00B03116" w:rsidRPr="00FB2FDB">
        <w:rPr>
          <w:rFonts w:ascii="Century Gothic" w:hAnsi="Century Gothic"/>
        </w:rPr>
        <w:t xml:space="preserve"> do grupo 2</w:t>
      </w:r>
      <w:r w:rsidRPr="00FB2FDB">
        <w:rPr>
          <w:rFonts w:ascii="Century Gothic" w:hAnsi="Century Gothic"/>
        </w:rPr>
        <w:t>.</w:t>
      </w:r>
    </w:p>
    <w:p w:rsidR="00341349" w:rsidRPr="00FB2FDB" w:rsidRDefault="00341349" w:rsidP="00FB2FDB">
      <w:pPr>
        <w:jc w:val="both"/>
        <w:rPr>
          <w:rFonts w:ascii="Century Gothic" w:hAnsi="Century Gothic"/>
          <w:b/>
        </w:rPr>
      </w:pPr>
      <w:r w:rsidRPr="00FB2FDB">
        <w:rPr>
          <w:rFonts w:ascii="Century Gothic" w:hAnsi="Century Gothic"/>
          <w:b/>
        </w:rPr>
        <w:t>4.1 Identificação dos Padrões Sazonais de Atividade</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lastRenderedPageBreak/>
        <w:t>Após os cálculos para diversos segmentos, foram escolhidos dados de oito setores, quatro que apresentaram coeficiente de variação menor do que 0,05, classificados como setores com baixa sazonalidade de produção e quatro com coeficientes maiores (ou próximos) a 0,1, como setores com alta sazonalidade de produção. Os dados podem ser vistos na Tabela 2.</w:t>
      </w:r>
    </w:p>
    <w:p w:rsidR="00B03116" w:rsidRPr="00FB2FDB" w:rsidRDefault="00B03116" w:rsidP="00FB2FDB">
      <w:pPr>
        <w:ind w:firstLine="709"/>
        <w:jc w:val="both"/>
        <w:rPr>
          <w:rFonts w:ascii="Century Gothic" w:hAnsi="Century Gothic"/>
        </w:rPr>
      </w:pPr>
      <w:r w:rsidRPr="00FB2FDB">
        <w:rPr>
          <w:rFonts w:ascii="Century Gothic" w:hAnsi="Century Gothic"/>
        </w:rPr>
        <w:t>Conforme pode ser observado, em termos médios, o período entre maio e novembro é o que concentra os maiores níveis de atividade. Interessante ressaltar que, com maior freq</w:t>
      </w:r>
      <w:r w:rsidR="00FE5868" w:rsidRPr="00FB2FDB">
        <w:rPr>
          <w:rFonts w:ascii="Century Gothic" w:hAnsi="Century Gothic"/>
        </w:rPr>
        <w:t>u</w:t>
      </w:r>
      <w:r w:rsidRPr="00FB2FDB">
        <w:rPr>
          <w:rFonts w:ascii="Century Gothic" w:hAnsi="Century Gothic"/>
        </w:rPr>
        <w:t>ência, os meses que apresentam os índices de produção mais baixos (realce cinza) são janeiro e fevereiro, característica até certo ponto comum na economia brasileira, devido às férias e ao menor número de dias do segundo mês.</w:t>
      </w:r>
    </w:p>
    <w:p w:rsidR="00B03116" w:rsidRPr="00FB2FDB" w:rsidRDefault="00B03116" w:rsidP="00FB2FDB">
      <w:pPr>
        <w:ind w:firstLine="709"/>
        <w:jc w:val="both"/>
        <w:rPr>
          <w:rFonts w:ascii="Century Gothic" w:hAnsi="Century Gothic"/>
        </w:rPr>
      </w:pPr>
      <w:r w:rsidRPr="00FB2FDB">
        <w:rPr>
          <w:rFonts w:ascii="Century Gothic" w:hAnsi="Century Gothic"/>
        </w:rPr>
        <w:t>Com relação aos índices mais elevados, cada segmento analisado tem um ritmo próprio, provavelmente determinado por suas características peculiares, mas observa-se uma considerável concentração entre os meses de julho e novembro.</w:t>
      </w:r>
    </w:p>
    <w:p w:rsidR="00B03116" w:rsidRPr="00FB2FDB" w:rsidRDefault="00B03116" w:rsidP="00FB2FDB">
      <w:pPr>
        <w:ind w:firstLine="709"/>
        <w:jc w:val="both"/>
        <w:rPr>
          <w:rFonts w:ascii="Century Gothic" w:hAnsi="Century Gothic"/>
        </w:rPr>
      </w:pPr>
      <w:proofErr w:type="spellStart"/>
      <w:r w:rsidRPr="00FB2FDB">
        <w:rPr>
          <w:rFonts w:ascii="Century Gothic" w:hAnsi="Century Gothic"/>
        </w:rPr>
        <w:t>Len</w:t>
      </w:r>
      <w:proofErr w:type="spellEnd"/>
      <w:r w:rsidRPr="00FB2FDB">
        <w:rPr>
          <w:rFonts w:ascii="Century Gothic" w:hAnsi="Century Gothic"/>
        </w:rPr>
        <w:t xml:space="preserve"> (1993) afirma que três tendências podem ser encontradas nos padrões de atividade, e a identificação de padrões sazonais está de acordo com suas proposições. </w:t>
      </w:r>
    </w:p>
    <w:p w:rsidR="00B03116" w:rsidRPr="00FB2FDB" w:rsidRDefault="00B03116"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Tabela 2. Índices sazonais de produção.</w:t>
      </w:r>
    </w:p>
    <w:tbl>
      <w:tblPr>
        <w:tblW w:w="8982" w:type="dxa"/>
        <w:tblBorders>
          <w:top w:val="single" w:sz="12" w:space="0" w:color="auto"/>
          <w:bottom w:val="single" w:sz="12" w:space="0" w:color="auto"/>
        </w:tblBorders>
        <w:tblLayout w:type="fixed"/>
        <w:tblLook w:val="01E0" w:firstRow="1" w:lastRow="1" w:firstColumn="1" w:lastColumn="1" w:noHBand="0" w:noVBand="0"/>
      </w:tblPr>
      <w:tblGrid>
        <w:gridCol w:w="1008"/>
        <w:gridCol w:w="988"/>
        <w:gridCol w:w="998"/>
        <w:gridCol w:w="998"/>
        <w:gridCol w:w="998"/>
        <w:gridCol w:w="878"/>
        <w:gridCol w:w="1260"/>
        <w:gridCol w:w="856"/>
        <w:gridCol w:w="998"/>
      </w:tblGrid>
      <w:tr w:rsidR="00341349" w:rsidRPr="00FB2FDB" w:rsidTr="00D72820">
        <w:tc>
          <w:tcPr>
            <w:tcW w:w="1008" w:type="dxa"/>
            <w:tcBorders>
              <w:top w:val="single" w:sz="12" w:space="0" w:color="auto"/>
              <w:bottom w:val="single" w:sz="8" w:space="0" w:color="auto"/>
            </w:tcBorders>
          </w:tcPr>
          <w:p w:rsidR="00341349" w:rsidRPr="00F8393E" w:rsidRDefault="00341349" w:rsidP="00F8393E">
            <w:pPr>
              <w:rPr>
                <w:rFonts w:ascii="Century Gothic" w:hAnsi="Century Gothic"/>
                <w:sz w:val="16"/>
                <w:szCs w:val="16"/>
              </w:rPr>
            </w:pPr>
            <w:r w:rsidRPr="00F8393E">
              <w:rPr>
                <w:rFonts w:ascii="Century Gothic" w:hAnsi="Century Gothic"/>
                <w:sz w:val="16"/>
                <w:szCs w:val="16"/>
              </w:rPr>
              <w:t>Período</w:t>
            </w:r>
          </w:p>
        </w:tc>
        <w:tc>
          <w:tcPr>
            <w:tcW w:w="988" w:type="dxa"/>
            <w:tcBorders>
              <w:top w:val="single" w:sz="12" w:space="0" w:color="auto"/>
              <w:bottom w:val="single" w:sz="8" w:space="0" w:color="auto"/>
            </w:tcBorders>
          </w:tcPr>
          <w:p w:rsidR="00341349" w:rsidRPr="00F8393E" w:rsidRDefault="00341349" w:rsidP="00F8393E">
            <w:pPr>
              <w:rPr>
                <w:rFonts w:ascii="Century Gothic" w:hAnsi="Century Gothic"/>
                <w:sz w:val="16"/>
                <w:szCs w:val="16"/>
              </w:rPr>
            </w:pPr>
            <w:proofErr w:type="spellStart"/>
            <w:r w:rsidRPr="00F8393E">
              <w:rPr>
                <w:rFonts w:ascii="Century Gothic" w:hAnsi="Century Gothic"/>
                <w:sz w:val="16"/>
                <w:szCs w:val="16"/>
              </w:rPr>
              <w:t>Alimen-tos</w:t>
            </w:r>
            <w:proofErr w:type="spellEnd"/>
          </w:p>
        </w:tc>
        <w:tc>
          <w:tcPr>
            <w:tcW w:w="998" w:type="dxa"/>
            <w:tcBorders>
              <w:top w:val="single" w:sz="12" w:space="0" w:color="auto"/>
              <w:bottom w:val="single" w:sz="8" w:space="0" w:color="auto"/>
            </w:tcBorders>
          </w:tcPr>
          <w:p w:rsidR="00341349" w:rsidRPr="00F8393E" w:rsidRDefault="00341349" w:rsidP="00F8393E">
            <w:pPr>
              <w:rPr>
                <w:rFonts w:ascii="Century Gothic" w:hAnsi="Century Gothic"/>
                <w:sz w:val="16"/>
                <w:szCs w:val="16"/>
              </w:rPr>
            </w:pPr>
            <w:r w:rsidRPr="00F8393E">
              <w:rPr>
                <w:rFonts w:ascii="Century Gothic" w:hAnsi="Century Gothic"/>
                <w:sz w:val="16"/>
                <w:szCs w:val="16"/>
              </w:rPr>
              <w:t>Têxtil</w:t>
            </w:r>
          </w:p>
        </w:tc>
        <w:tc>
          <w:tcPr>
            <w:tcW w:w="998" w:type="dxa"/>
            <w:tcBorders>
              <w:top w:val="single" w:sz="12" w:space="0" w:color="auto"/>
              <w:bottom w:val="single" w:sz="8" w:space="0" w:color="auto"/>
            </w:tcBorders>
          </w:tcPr>
          <w:p w:rsidR="00341349" w:rsidRPr="00F8393E" w:rsidRDefault="00F8393E" w:rsidP="00F8393E">
            <w:pPr>
              <w:rPr>
                <w:rFonts w:ascii="Century Gothic" w:hAnsi="Century Gothic"/>
                <w:sz w:val="16"/>
                <w:szCs w:val="16"/>
              </w:rPr>
            </w:pPr>
            <w:r>
              <w:rPr>
                <w:rFonts w:ascii="Century Gothic" w:hAnsi="Century Gothic"/>
                <w:sz w:val="16"/>
                <w:szCs w:val="16"/>
              </w:rPr>
              <w:t>Vestu</w:t>
            </w:r>
            <w:r w:rsidR="00341349" w:rsidRPr="00F8393E">
              <w:rPr>
                <w:rFonts w:ascii="Century Gothic" w:hAnsi="Century Gothic"/>
                <w:sz w:val="16"/>
                <w:szCs w:val="16"/>
              </w:rPr>
              <w:t>ário</w:t>
            </w:r>
          </w:p>
        </w:tc>
        <w:tc>
          <w:tcPr>
            <w:tcW w:w="998" w:type="dxa"/>
            <w:tcBorders>
              <w:top w:val="single" w:sz="12" w:space="0" w:color="auto"/>
              <w:bottom w:val="single" w:sz="8" w:space="0" w:color="auto"/>
            </w:tcBorders>
          </w:tcPr>
          <w:p w:rsidR="00341349" w:rsidRPr="00F8393E" w:rsidRDefault="00341349" w:rsidP="00F8393E">
            <w:pPr>
              <w:rPr>
                <w:rFonts w:ascii="Century Gothic" w:hAnsi="Century Gothic"/>
                <w:sz w:val="16"/>
                <w:szCs w:val="16"/>
              </w:rPr>
            </w:pPr>
            <w:r w:rsidRPr="00F8393E">
              <w:rPr>
                <w:rFonts w:ascii="Century Gothic" w:hAnsi="Century Gothic"/>
                <w:sz w:val="16"/>
                <w:szCs w:val="16"/>
              </w:rPr>
              <w:t>Química</w:t>
            </w:r>
          </w:p>
        </w:tc>
        <w:tc>
          <w:tcPr>
            <w:tcW w:w="878" w:type="dxa"/>
            <w:tcBorders>
              <w:top w:val="single" w:sz="12" w:space="0" w:color="auto"/>
              <w:bottom w:val="single" w:sz="8" w:space="0" w:color="auto"/>
            </w:tcBorders>
          </w:tcPr>
          <w:p w:rsidR="00341349" w:rsidRPr="00F8393E" w:rsidRDefault="00341349" w:rsidP="000B423A">
            <w:pPr>
              <w:rPr>
                <w:rFonts w:ascii="Century Gothic" w:hAnsi="Century Gothic"/>
                <w:sz w:val="16"/>
                <w:szCs w:val="16"/>
              </w:rPr>
            </w:pPr>
            <w:proofErr w:type="spellStart"/>
            <w:r w:rsidRPr="00F8393E">
              <w:rPr>
                <w:rFonts w:ascii="Century Gothic" w:hAnsi="Century Gothic"/>
                <w:sz w:val="16"/>
                <w:szCs w:val="16"/>
              </w:rPr>
              <w:t>Celu-lose</w:t>
            </w:r>
            <w:proofErr w:type="spellEnd"/>
          </w:p>
        </w:tc>
        <w:tc>
          <w:tcPr>
            <w:tcW w:w="1260" w:type="dxa"/>
            <w:tcBorders>
              <w:top w:val="single" w:sz="12" w:space="0" w:color="auto"/>
              <w:bottom w:val="single" w:sz="8" w:space="0" w:color="auto"/>
            </w:tcBorders>
            <w:vAlign w:val="bottom"/>
          </w:tcPr>
          <w:p w:rsidR="00341349" w:rsidRPr="00F8393E" w:rsidRDefault="00341349" w:rsidP="00F8393E">
            <w:pPr>
              <w:rPr>
                <w:rFonts w:ascii="Century Gothic" w:hAnsi="Century Gothic"/>
                <w:sz w:val="16"/>
                <w:szCs w:val="16"/>
              </w:rPr>
            </w:pPr>
            <w:r w:rsidRPr="00F8393E">
              <w:rPr>
                <w:rFonts w:ascii="Century Gothic" w:hAnsi="Century Gothic"/>
                <w:sz w:val="16"/>
                <w:szCs w:val="16"/>
              </w:rPr>
              <w:t>Minerais n. metálicos</w:t>
            </w:r>
          </w:p>
        </w:tc>
        <w:tc>
          <w:tcPr>
            <w:tcW w:w="856" w:type="dxa"/>
            <w:tcBorders>
              <w:top w:val="single" w:sz="12" w:space="0" w:color="auto"/>
              <w:bottom w:val="single" w:sz="8" w:space="0" w:color="auto"/>
            </w:tcBorders>
          </w:tcPr>
          <w:p w:rsidR="00341349" w:rsidRPr="00F8393E" w:rsidRDefault="00341349" w:rsidP="00F8393E">
            <w:pPr>
              <w:rPr>
                <w:rFonts w:ascii="Century Gothic" w:hAnsi="Century Gothic"/>
                <w:sz w:val="16"/>
                <w:szCs w:val="16"/>
              </w:rPr>
            </w:pPr>
            <w:proofErr w:type="spellStart"/>
            <w:r w:rsidRPr="00F8393E">
              <w:rPr>
                <w:rFonts w:ascii="Century Gothic" w:hAnsi="Century Gothic"/>
                <w:sz w:val="16"/>
                <w:szCs w:val="16"/>
              </w:rPr>
              <w:t>Meta-lurgia</w:t>
            </w:r>
            <w:proofErr w:type="spellEnd"/>
          </w:p>
        </w:tc>
        <w:tc>
          <w:tcPr>
            <w:tcW w:w="998" w:type="dxa"/>
            <w:tcBorders>
              <w:top w:val="single" w:sz="12" w:space="0" w:color="auto"/>
              <w:bottom w:val="single" w:sz="8" w:space="0" w:color="auto"/>
            </w:tcBorders>
          </w:tcPr>
          <w:p w:rsidR="00341349" w:rsidRPr="00F8393E" w:rsidRDefault="00341349" w:rsidP="00F8393E">
            <w:pPr>
              <w:rPr>
                <w:rFonts w:ascii="Century Gothic" w:hAnsi="Century Gothic"/>
                <w:sz w:val="16"/>
                <w:szCs w:val="16"/>
              </w:rPr>
            </w:pPr>
            <w:proofErr w:type="spellStart"/>
            <w:r w:rsidRPr="00F8393E">
              <w:rPr>
                <w:rFonts w:ascii="Century Gothic" w:hAnsi="Century Gothic"/>
                <w:sz w:val="16"/>
                <w:szCs w:val="16"/>
              </w:rPr>
              <w:t>Extra-tiva</w:t>
            </w:r>
            <w:proofErr w:type="spellEnd"/>
          </w:p>
        </w:tc>
      </w:tr>
      <w:tr w:rsidR="00341349" w:rsidRPr="00FB2FDB" w:rsidTr="00D72820">
        <w:tc>
          <w:tcPr>
            <w:tcW w:w="1008" w:type="dxa"/>
            <w:tcBorders>
              <w:top w:val="single" w:sz="8" w:space="0" w:color="auto"/>
            </w:tcBorders>
          </w:tcPr>
          <w:p w:rsidR="00341349" w:rsidRPr="00FB2FDB" w:rsidRDefault="00341349" w:rsidP="00F8393E">
            <w:pPr>
              <w:rPr>
                <w:rFonts w:ascii="Century Gothic" w:hAnsi="Century Gothic"/>
                <w:sz w:val="20"/>
                <w:szCs w:val="20"/>
              </w:rPr>
            </w:pPr>
            <w:r w:rsidRPr="00FB2FDB">
              <w:rPr>
                <w:rFonts w:ascii="Century Gothic" w:hAnsi="Century Gothic"/>
                <w:sz w:val="20"/>
                <w:szCs w:val="20"/>
              </w:rPr>
              <w:t>Jan</w:t>
            </w:r>
          </w:p>
        </w:tc>
        <w:tc>
          <w:tcPr>
            <w:tcW w:w="988" w:type="dxa"/>
            <w:tcBorders>
              <w:top w:val="single" w:sz="8" w:space="0" w:color="auto"/>
            </w:tcBorders>
          </w:tcPr>
          <w:p w:rsidR="00341349" w:rsidRPr="00FB2FDB" w:rsidRDefault="00341349" w:rsidP="00F8393E">
            <w:pPr>
              <w:rPr>
                <w:rFonts w:ascii="Century Gothic" w:hAnsi="Century Gothic"/>
                <w:sz w:val="20"/>
                <w:szCs w:val="20"/>
              </w:rPr>
            </w:pPr>
            <w:r w:rsidRPr="00FB2FDB">
              <w:rPr>
                <w:rFonts w:ascii="Century Gothic" w:hAnsi="Century Gothic"/>
                <w:sz w:val="20"/>
                <w:szCs w:val="20"/>
              </w:rPr>
              <w:t>88,1</w:t>
            </w:r>
          </w:p>
        </w:tc>
        <w:tc>
          <w:tcPr>
            <w:tcW w:w="998" w:type="dxa"/>
            <w:tcBorders>
              <w:top w:val="single" w:sz="8" w:space="0" w:color="auto"/>
            </w:tcBorders>
          </w:tcPr>
          <w:p w:rsidR="00341349" w:rsidRPr="00FB2FDB" w:rsidRDefault="00341349" w:rsidP="00F8393E">
            <w:pPr>
              <w:rPr>
                <w:rFonts w:ascii="Century Gothic" w:hAnsi="Century Gothic"/>
                <w:sz w:val="20"/>
                <w:szCs w:val="20"/>
              </w:rPr>
            </w:pPr>
            <w:r w:rsidRPr="00FB2FDB">
              <w:rPr>
                <w:rFonts w:ascii="Century Gothic" w:hAnsi="Century Gothic"/>
                <w:sz w:val="20"/>
                <w:szCs w:val="20"/>
              </w:rPr>
              <w:t>88,7</w:t>
            </w:r>
          </w:p>
        </w:tc>
        <w:tc>
          <w:tcPr>
            <w:tcW w:w="998" w:type="dxa"/>
            <w:tcBorders>
              <w:top w:val="single" w:sz="8" w:space="0" w:color="auto"/>
            </w:tcBorders>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78,8</w:t>
            </w:r>
          </w:p>
        </w:tc>
        <w:tc>
          <w:tcPr>
            <w:tcW w:w="998" w:type="dxa"/>
            <w:tcBorders>
              <w:top w:val="single" w:sz="8" w:space="0" w:color="auto"/>
            </w:tcBorders>
            <w:vAlign w:val="bottom"/>
          </w:tcPr>
          <w:p w:rsidR="00341349" w:rsidRPr="00FB2FDB" w:rsidRDefault="00341349" w:rsidP="00F8393E">
            <w:pPr>
              <w:rPr>
                <w:rFonts w:ascii="Century Gothic" w:hAnsi="Century Gothic"/>
                <w:color w:val="000000"/>
                <w:sz w:val="20"/>
                <w:szCs w:val="20"/>
              </w:rPr>
            </w:pPr>
            <w:r w:rsidRPr="00FB2FDB">
              <w:rPr>
                <w:rFonts w:ascii="Century Gothic" w:hAnsi="Century Gothic"/>
                <w:color w:val="000000"/>
                <w:sz w:val="20"/>
                <w:szCs w:val="20"/>
              </w:rPr>
              <w:t>90,6</w:t>
            </w:r>
          </w:p>
        </w:tc>
        <w:tc>
          <w:tcPr>
            <w:tcW w:w="878" w:type="dxa"/>
            <w:tcBorders>
              <w:top w:val="single" w:sz="8" w:space="0" w:color="auto"/>
            </w:tcBorders>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100,5</w:t>
            </w:r>
          </w:p>
        </w:tc>
        <w:tc>
          <w:tcPr>
            <w:tcW w:w="1260" w:type="dxa"/>
            <w:tcBorders>
              <w:top w:val="single" w:sz="8" w:space="0" w:color="auto"/>
            </w:tcBorders>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95,2</w:t>
            </w:r>
          </w:p>
        </w:tc>
        <w:tc>
          <w:tcPr>
            <w:tcW w:w="856" w:type="dxa"/>
            <w:tcBorders>
              <w:top w:val="single" w:sz="8" w:space="0" w:color="auto"/>
            </w:tcBorders>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95,8</w:t>
            </w:r>
          </w:p>
        </w:tc>
        <w:tc>
          <w:tcPr>
            <w:tcW w:w="998" w:type="dxa"/>
            <w:tcBorders>
              <w:top w:val="single" w:sz="8" w:space="0" w:color="auto"/>
            </w:tcBorders>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101,1</w:t>
            </w:r>
          </w:p>
        </w:tc>
      </w:tr>
      <w:tr w:rsidR="00341349" w:rsidRPr="00FB2FDB" w:rsidTr="00D72820">
        <w:tc>
          <w:tcPr>
            <w:tcW w:w="1008" w:type="dxa"/>
          </w:tcPr>
          <w:p w:rsidR="00341349" w:rsidRPr="00FB2FDB" w:rsidRDefault="00341349" w:rsidP="00F8393E">
            <w:pPr>
              <w:rPr>
                <w:rFonts w:ascii="Century Gothic" w:hAnsi="Century Gothic"/>
                <w:sz w:val="20"/>
                <w:szCs w:val="20"/>
              </w:rPr>
            </w:pPr>
            <w:proofErr w:type="spellStart"/>
            <w:r w:rsidRPr="00FB2FDB">
              <w:rPr>
                <w:rFonts w:ascii="Century Gothic" w:hAnsi="Century Gothic"/>
                <w:sz w:val="20"/>
                <w:szCs w:val="20"/>
              </w:rPr>
              <w:t>Fev</w:t>
            </w:r>
            <w:proofErr w:type="spellEnd"/>
          </w:p>
        </w:tc>
        <w:tc>
          <w:tcPr>
            <w:tcW w:w="98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79,1</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92,2</w:t>
            </w:r>
          </w:p>
        </w:tc>
        <w:tc>
          <w:tcPr>
            <w:tcW w:w="998"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83,5</w:t>
            </w:r>
          </w:p>
        </w:tc>
        <w:tc>
          <w:tcPr>
            <w:tcW w:w="998" w:type="dxa"/>
            <w:vAlign w:val="bottom"/>
          </w:tcPr>
          <w:p w:rsidR="00341349" w:rsidRPr="00FB2FDB" w:rsidRDefault="00341349" w:rsidP="00F8393E">
            <w:pPr>
              <w:rPr>
                <w:rFonts w:ascii="Century Gothic" w:hAnsi="Century Gothic"/>
                <w:color w:val="000000"/>
                <w:sz w:val="20"/>
                <w:szCs w:val="20"/>
              </w:rPr>
            </w:pPr>
            <w:r w:rsidRPr="00FB2FDB">
              <w:rPr>
                <w:rFonts w:ascii="Century Gothic" w:hAnsi="Century Gothic"/>
                <w:color w:val="000000"/>
                <w:sz w:val="20"/>
                <w:szCs w:val="20"/>
              </w:rPr>
              <w:t>85,6</w:t>
            </w:r>
          </w:p>
        </w:tc>
        <w:tc>
          <w:tcPr>
            <w:tcW w:w="87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94,0</w:t>
            </w:r>
          </w:p>
        </w:tc>
        <w:tc>
          <w:tcPr>
            <w:tcW w:w="1260"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90,7</w:t>
            </w:r>
          </w:p>
        </w:tc>
        <w:tc>
          <w:tcPr>
            <w:tcW w:w="856"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92,5</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92,7</w:t>
            </w:r>
          </w:p>
        </w:tc>
      </w:tr>
      <w:tr w:rsidR="00341349" w:rsidRPr="00FB2FDB" w:rsidTr="00D72820">
        <w:tc>
          <w:tcPr>
            <w:tcW w:w="100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Mar</w:t>
            </w:r>
          </w:p>
        </w:tc>
        <w:tc>
          <w:tcPr>
            <w:tcW w:w="98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88,0</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105,6</w:t>
            </w:r>
          </w:p>
        </w:tc>
        <w:tc>
          <w:tcPr>
            <w:tcW w:w="998"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94,8</w:t>
            </w:r>
          </w:p>
        </w:tc>
        <w:tc>
          <w:tcPr>
            <w:tcW w:w="998" w:type="dxa"/>
            <w:vAlign w:val="bottom"/>
          </w:tcPr>
          <w:p w:rsidR="00341349" w:rsidRPr="00FB2FDB" w:rsidRDefault="00341349" w:rsidP="00F8393E">
            <w:pPr>
              <w:rPr>
                <w:rFonts w:ascii="Century Gothic" w:hAnsi="Century Gothic"/>
                <w:color w:val="000000"/>
                <w:sz w:val="20"/>
                <w:szCs w:val="20"/>
              </w:rPr>
            </w:pPr>
            <w:r w:rsidRPr="00FB2FDB">
              <w:rPr>
                <w:rFonts w:ascii="Century Gothic" w:hAnsi="Century Gothic"/>
                <w:color w:val="000000"/>
                <w:sz w:val="20"/>
                <w:szCs w:val="20"/>
              </w:rPr>
              <w:t>96,1</w:t>
            </w:r>
          </w:p>
        </w:tc>
        <w:tc>
          <w:tcPr>
            <w:tcW w:w="87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101,8</w:t>
            </w:r>
          </w:p>
        </w:tc>
        <w:tc>
          <w:tcPr>
            <w:tcW w:w="1260"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101,1</w:t>
            </w:r>
          </w:p>
        </w:tc>
        <w:tc>
          <w:tcPr>
            <w:tcW w:w="856"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102,5</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100,8</w:t>
            </w:r>
          </w:p>
        </w:tc>
      </w:tr>
      <w:tr w:rsidR="00341349" w:rsidRPr="00FB2FDB" w:rsidTr="00D72820">
        <w:tc>
          <w:tcPr>
            <w:tcW w:w="1008" w:type="dxa"/>
          </w:tcPr>
          <w:p w:rsidR="00341349" w:rsidRPr="00FB2FDB" w:rsidRDefault="00341349" w:rsidP="00F8393E">
            <w:pPr>
              <w:rPr>
                <w:rFonts w:ascii="Century Gothic" w:hAnsi="Century Gothic"/>
                <w:sz w:val="20"/>
                <w:szCs w:val="20"/>
              </w:rPr>
            </w:pPr>
            <w:proofErr w:type="spellStart"/>
            <w:r w:rsidRPr="00FB2FDB">
              <w:rPr>
                <w:rFonts w:ascii="Century Gothic" w:hAnsi="Century Gothic"/>
                <w:sz w:val="20"/>
                <w:szCs w:val="20"/>
              </w:rPr>
              <w:t>Abr</w:t>
            </w:r>
            <w:proofErr w:type="spellEnd"/>
          </w:p>
        </w:tc>
        <w:tc>
          <w:tcPr>
            <w:tcW w:w="98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86,4</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102,8</w:t>
            </w:r>
          </w:p>
        </w:tc>
        <w:tc>
          <w:tcPr>
            <w:tcW w:w="998"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91,5</w:t>
            </w:r>
          </w:p>
        </w:tc>
        <w:tc>
          <w:tcPr>
            <w:tcW w:w="998" w:type="dxa"/>
            <w:vAlign w:val="bottom"/>
          </w:tcPr>
          <w:p w:rsidR="00341349" w:rsidRPr="00FB2FDB" w:rsidRDefault="00341349" w:rsidP="00F8393E">
            <w:pPr>
              <w:rPr>
                <w:rFonts w:ascii="Century Gothic" w:hAnsi="Century Gothic"/>
                <w:color w:val="000000"/>
                <w:sz w:val="20"/>
                <w:szCs w:val="20"/>
              </w:rPr>
            </w:pPr>
            <w:r w:rsidRPr="00FB2FDB">
              <w:rPr>
                <w:rFonts w:ascii="Century Gothic" w:hAnsi="Century Gothic"/>
                <w:color w:val="000000"/>
                <w:sz w:val="20"/>
                <w:szCs w:val="20"/>
              </w:rPr>
              <w:t>91,4</w:t>
            </w:r>
          </w:p>
        </w:tc>
        <w:tc>
          <w:tcPr>
            <w:tcW w:w="87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97,8</w:t>
            </w:r>
          </w:p>
        </w:tc>
        <w:tc>
          <w:tcPr>
            <w:tcW w:w="1260"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97,0</w:t>
            </w:r>
          </w:p>
        </w:tc>
        <w:tc>
          <w:tcPr>
            <w:tcW w:w="856"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98,7</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97,4</w:t>
            </w:r>
          </w:p>
        </w:tc>
      </w:tr>
      <w:tr w:rsidR="00341349" w:rsidRPr="00FB2FDB" w:rsidTr="00D72820">
        <w:tc>
          <w:tcPr>
            <w:tcW w:w="100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Mai</w:t>
            </w:r>
          </w:p>
        </w:tc>
        <w:tc>
          <w:tcPr>
            <w:tcW w:w="98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98,7</w:t>
            </w:r>
          </w:p>
        </w:tc>
        <w:tc>
          <w:tcPr>
            <w:tcW w:w="99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107,0</w:t>
            </w:r>
          </w:p>
        </w:tc>
        <w:tc>
          <w:tcPr>
            <w:tcW w:w="998"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96,0</w:t>
            </w:r>
          </w:p>
        </w:tc>
        <w:tc>
          <w:tcPr>
            <w:tcW w:w="998" w:type="dxa"/>
            <w:vAlign w:val="bottom"/>
          </w:tcPr>
          <w:p w:rsidR="00341349" w:rsidRPr="00FB2FDB" w:rsidRDefault="00341349" w:rsidP="00F8393E">
            <w:pPr>
              <w:rPr>
                <w:rFonts w:ascii="Century Gothic" w:hAnsi="Century Gothic"/>
                <w:color w:val="000000"/>
                <w:sz w:val="20"/>
                <w:szCs w:val="20"/>
              </w:rPr>
            </w:pPr>
            <w:r w:rsidRPr="00FB2FDB">
              <w:rPr>
                <w:rFonts w:ascii="Century Gothic" w:hAnsi="Century Gothic"/>
                <w:color w:val="000000"/>
                <w:sz w:val="20"/>
                <w:szCs w:val="20"/>
              </w:rPr>
              <w:t>95,3</w:t>
            </w:r>
          </w:p>
        </w:tc>
        <w:tc>
          <w:tcPr>
            <w:tcW w:w="87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101,0</w:t>
            </w:r>
          </w:p>
        </w:tc>
        <w:tc>
          <w:tcPr>
            <w:tcW w:w="1260"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102,4</w:t>
            </w:r>
          </w:p>
        </w:tc>
        <w:tc>
          <w:tcPr>
            <w:tcW w:w="856"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103,7</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101,0</w:t>
            </w:r>
          </w:p>
        </w:tc>
      </w:tr>
      <w:tr w:rsidR="00341349" w:rsidRPr="00FB2FDB" w:rsidTr="00D72820">
        <w:tc>
          <w:tcPr>
            <w:tcW w:w="1008" w:type="dxa"/>
          </w:tcPr>
          <w:p w:rsidR="00341349" w:rsidRPr="00FB2FDB" w:rsidRDefault="00341349" w:rsidP="00F8393E">
            <w:pPr>
              <w:rPr>
                <w:rFonts w:ascii="Century Gothic" w:hAnsi="Century Gothic"/>
                <w:sz w:val="20"/>
                <w:szCs w:val="20"/>
              </w:rPr>
            </w:pPr>
            <w:proofErr w:type="spellStart"/>
            <w:r w:rsidRPr="00FB2FDB">
              <w:rPr>
                <w:rFonts w:ascii="Century Gothic" w:hAnsi="Century Gothic"/>
                <w:sz w:val="20"/>
                <w:szCs w:val="20"/>
              </w:rPr>
              <w:t>Jun</w:t>
            </w:r>
            <w:proofErr w:type="spellEnd"/>
          </w:p>
        </w:tc>
        <w:tc>
          <w:tcPr>
            <w:tcW w:w="98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103,9</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102,0</w:t>
            </w:r>
          </w:p>
        </w:tc>
        <w:tc>
          <w:tcPr>
            <w:tcW w:w="998"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95,3</w:t>
            </w:r>
          </w:p>
        </w:tc>
        <w:tc>
          <w:tcPr>
            <w:tcW w:w="998" w:type="dxa"/>
            <w:vAlign w:val="bottom"/>
          </w:tcPr>
          <w:p w:rsidR="00341349" w:rsidRPr="00FB2FDB" w:rsidRDefault="00341349" w:rsidP="00F8393E">
            <w:pPr>
              <w:rPr>
                <w:rFonts w:ascii="Century Gothic" w:hAnsi="Century Gothic"/>
                <w:color w:val="000000"/>
                <w:sz w:val="20"/>
                <w:szCs w:val="20"/>
              </w:rPr>
            </w:pPr>
            <w:r w:rsidRPr="00FB2FDB">
              <w:rPr>
                <w:rFonts w:ascii="Century Gothic" w:hAnsi="Century Gothic"/>
                <w:color w:val="000000"/>
                <w:sz w:val="20"/>
                <w:szCs w:val="20"/>
              </w:rPr>
              <w:t>96,6</w:t>
            </w:r>
          </w:p>
        </w:tc>
        <w:tc>
          <w:tcPr>
            <w:tcW w:w="87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98,4</w:t>
            </w:r>
          </w:p>
        </w:tc>
        <w:tc>
          <w:tcPr>
            <w:tcW w:w="1260"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99,1</w:t>
            </w:r>
          </w:p>
        </w:tc>
        <w:tc>
          <w:tcPr>
            <w:tcW w:w="856"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100,8</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99,1</w:t>
            </w:r>
          </w:p>
        </w:tc>
      </w:tr>
      <w:tr w:rsidR="00341349" w:rsidRPr="00FB2FDB" w:rsidTr="00D72820">
        <w:tc>
          <w:tcPr>
            <w:tcW w:w="1008" w:type="dxa"/>
          </w:tcPr>
          <w:p w:rsidR="00341349" w:rsidRPr="00FB2FDB" w:rsidRDefault="00341349" w:rsidP="00F8393E">
            <w:pPr>
              <w:rPr>
                <w:rFonts w:ascii="Century Gothic" w:hAnsi="Century Gothic"/>
                <w:sz w:val="20"/>
                <w:szCs w:val="20"/>
              </w:rPr>
            </w:pPr>
            <w:proofErr w:type="spellStart"/>
            <w:r w:rsidRPr="00FB2FDB">
              <w:rPr>
                <w:rFonts w:ascii="Century Gothic" w:hAnsi="Century Gothic"/>
                <w:sz w:val="20"/>
                <w:szCs w:val="20"/>
              </w:rPr>
              <w:t>Jul</w:t>
            </w:r>
            <w:proofErr w:type="spellEnd"/>
          </w:p>
        </w:tc>
        <w:tc>
          <w:tcPr>
            <w:tcW w:w="98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112,7</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105,5</w:t>
            </w:r>
          </w:p>
        </w:tc>
        <w:tc>
          <w:tcPr>
            <w:tcW w:w="998"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107,2</w:t>
            </w:r>
          </w:p>
        </w:tc>
        <w:tc>
          <w:tcPr>
            <w:tcW w:w="998" w:type="dxa"/>
            <w:vAlign w:val="bottom"/>
          </w:tcPr>
          <w:p w:rsidR="00341349" w:rsidRPr="00FB2FDB" w:rsidRDefault="00341349" w:rsidP="00F8393E">
            <w:pPr>
              <w:rPr>
                <w:rFonts w:ascii="Century Gothic" w:hAnsi="Century Gothic"/>
                <w:color w:val="000000"/>
                <w:sz w:val="20"/>
                <w:szCs w:val="20"/>
              </w:rPr>
            </w:pPr>
            <w:r w:rsidRPr="00FB2FDB">
              <w:rPr>
                <w:rFonts w:ascii="Century Gothic" w:hAnsi="Century Gothic"/>
                <w:color w:val="000000"/>
                <w:sz w:val="20"/>
                <w:szCs w:val="20"/>
              </w:rPr>
              <w:t>103,8</w:t>
            </w:r>
          </w:p>
        </w:tc>
        <w:tc>
          <w:tcPr>
            <w:tcW w:w="87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102,0</w:t>
            </w:r>
          </w:p>
        </w:tc>
        <w:tc>
          <w:tcPr>
            <w:tcW w:w="1260"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103,4</w:t>
            </w:r>
          </w:p>
        </w:tc>
        <w:tc>
          <w:tcPr>
            <w:tcW w:w="856"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104,1</w:t>
            </w:r>
          </w:p>
        </w:tc>
        <w:tc>
          <w:tcPr>
            <w:tcW w:w="99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102,4</w:t>
            </w:r>
          </w:p>
        </w:tc>
      </w:tr>
      <w:tr w:rsidR="00341349" w:rsidRPr="00FB2FDB" w:rsidTr="00D72820">
        <w:tc>
          <w:tcPr>
            <w:tcW w:w="1008" w:type="dxa"/>
          </w:tcPr>
          <w:p w:rsidR="00341349" w:rsidRPr="00FB2FDB" w:rsidRDefault="00341349" w:rsidP="00F8393E">
            <w:pPr>
              <w:rPr>
                <w:rFonts w:ascii="Century Gothic" w:hAnsi="Century Gothic"/>
                <w:sz w:val="20"/>
                <w:szCs w:val="20"/>
              </w:rPr>
            </w:pPr>
            <w:proofErr w:type="spellStart"/>
            <w:r w:rsidRPr="00FB2FDB">
              <w:rPr>
                <w:rFonts w:ascii="Century Gothic" w:hAnsi="Century Gothic"/>
                <w:sz w:val="20"/>
                <w:szCs w:val="20"/>
              </w:rPr>
              <w:t>Ago</w:t>
            </w:r>
            <w:proofErr w:type="spellEnd"/>
          </w:p>
        </w:tc>
        <w:tc>
          <w:tcPr>
            <w:tcW w:w="98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116,8</w:t>
            </w:r>
          </w:p>
        </w:tc>
        <w:tc>
          <w:tcPr>
            <w:tcW w:w="99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106,4</w:t>
            </w:r>
          </w:p>
        </w:tc>
        <w:tc>
          <w:tcPr>
            <w:tcW w:w="998"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113,5</w:t>
            </w:r>
          </w:p>
        </w:tc>
        <w:tc>
          <w:tcPr>
            <w:tcW w:w="998" w:type="dxa"/>
            <w:vAlign w:val="bottom"/>
          </w:tcPr>
          <w:p w:rsidR="00341349" w:rsidRPr="00FB2FDB" w:rsidRDefault="00341349" w:rsidP="00F8393E">
            <w:pPr>
              <w:rPr>
                <w:rFonts w:ascii="Century Gothic" w:hAnsi="Century Gothic"/>
                <w:color w:val="000000"/>
                <w:sz w:val="20"/>
                <w:szCs w:val="20"/>
              </w:rPr>
            </w:pPr>
            <w:r w:rsidRPr="00FB2FDB">
              <w:rPr>
                <w:rFonts w:ascii="Century Gothic" w:hAnsi="Century Gothic"/>
                <w:color w:val="000000"/>
                <w:sz w:val="20"/>
                <w:szCs w:val="20"/>
              </w:rPr>
              <w:t>109,3</w:t>
            </w:r>
          </w:p>
        </w:tc>
        <w:tc>
          <w:tcPr>
            <w:tcW w:w="87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101,7</w:t>
            </w:r>
          </w:p>
        </w:tc>
        <w:tc>
          <w:tcPr>
            <w:tcW w:w="1260" w:type="dxa"/>
            <w:vAlign w:val="bottom"/>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106,2</w:t>
            </w:r>
          </w:p>
        </w:tc>
        <w:tc>
          <w:tcPr>
            <w:tcW w:w="856"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104,2</w:t>
            </w:r>
          </w:p>
        </w:tc>
        <w:tc>
          <w:tcPr>
            <w:tcW w:w="99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103,0</w:t>
            </w:r>
          </w:p>
        </w:tc>
      </w:tr>
      <w:tr w:rsidR="00341349" w:rsidRPr="00FB2FDB" w:rsidTr="00D72820">
        <w:tc>
          <w:tcPr>
            <w:tcW w:w="100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Set</w:t>
            </w:r>
          </w:p>
        </w:tc>
        <w:tc>
          <w:tcPr>
            <w:tcW w:w="98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111,8</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102,2</w:t>
            </w:r>
          </w:p>
        </w:tc>
        <w:tc>
          <w:tcPr>
            <w:tcW w:w="998"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112,8</w:t>
            </w:r>
          </w:p>
        </w:tc>
        <w:tc>
          <w:tcPr>
            <w:tcW w:w="998" w:type="dxa"/>
            <w:vAlign w:val="bottom"/>
          </w:tcPr>
          <w:p w:rsidR="00341349" w:rsidRPr="00FB2FDB" w:rsidRDefault="00341349" w:rsidP="00F8393E">
            <w:pPr>
              <w:rPr>
                <w:rFonts w:ascii="Century Gothic" w:hAnsi="Century Gothic"/>
                <w:b/>
                <w:color w:val="000000"/>
                <w:sz w:val="20"/>
                <w:szCs w:val="20"/>
              </w:rPr>
            </w:pPr>
            <w:r w:rsidRPr="00FB2FDB">
              <w:rPr>
                <w:rFonts w:ascii="Century Gothic" w:hAnsi="Century Gothic"/>
                <w:b/>
                <w:color w:val="000000"/>
                <w:sz w:val="20"/>
                <w:szCs w:val="20"/>
              </w:rPr>
              <w:t>112,9</w:t>
            </w:r>
          </w:p>
        </w:tc>
        <w:tc>
          <w:tcPr>
            <w:tcW w:w="87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99,6</w:t>
            </w:r>
          </w:p>
        </w:tc>
        <w:tc>
          <w:tcPr>
            <w:tcW w:w="1260"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103,2</w:t>
            </w:r>
          </w:p>
        </w:tc>
        <w:tc>
          <w:tcPr>
            <w:tcW w:w="856"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101,4</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98,8</w:t>
            </w:r>
          </w:p>
        </w:tc>
      </w:tr>
      <w:tr w:rsidR="00341349" w:rsidRPr="00FB2FDB" w:rsidTr="00D72820">
        <w:tc>
          <w:tcPr>
            <w:tcW w:w="100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Out</w:t>
            </w:r>
          </w:p>
        </w:tc>
        <w:tc>
          <w:tcPr>
            <w:tcW w:w="98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115,3</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105,3</w:t>
            </w:r>
          </w:p>
        </w:tc>
        <w:tc>
          <w:tcPr>
            <w:tcW w:w="998" w:type="dxa"/>
            <w:vAlign w:val="bottom"/>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120,5</w:t>
            </w:r>
          </w:p>
        </w:tc>
        <w:tc>
          <w:tcPr>
            <w:tcW w:w="998" w:type="dxa"/>
            <w:vAlign w:val="bottom"/>
          </w:tcPr>
          <w:p w:rsidR="00341349" w:rsidRPr="00FB2FDB" w:rsidRDefault="00341349" w:rsidP="00F8393E">
            <w:pPr>
              <w:rPr>
                <w:rFonts w:ascii="Century Gothic" w:hAnsi="Century Gothic"/>
                <w:b/>
                <w:color w:val="000000"/>
                <w:sz w:val="20"/>
                <w:szCs w:val="20"/>
              </w:rPr>
            </w:pPr>
            <w:r w:rsidRPr="00FB2FDB">
              <w:rPr>
                <w:rFonts w:ascii="Century Gothic" w:hAnsi="Century Gothic"/>
                <w:b/>
                <w:color w:val="000000"/>
                <w:sz w:val="20"/>
                <w:szCs w:val="20"/>
              </w:rPr>
              <w:t>116,5</w:t>
            </w:r>
          </w:p>
        </w:tc>
        <w:tc>
          <w:tcPr>
            <w:tcW w:w="87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103,2</w:t>
            </w:r>
          </w:p>
        </w:tc>
        <w:tc>
          <w:tcPr>
            <w:tcW w:w="1260" w:type="dxa"/>
            <w:vAlign w:val="bottom"/>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105,3</w:t>
            </w:r>
          </w:p>
        </w:tc>
        <w:tc>
          <w:tcPr>
            <w:tcW w:w="856"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103,1</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102,2</w:t>
            </w:r>
          </w:p>
        </w:tc>
      </w:tr>
      <w:tr w:rsidR="00341349" w:rsidRPr="00FB2FDB" w:rsidTr="00D72820">
        <w:tc>
          <w:tcPr>
            <w:tcW w:w="1008" w:type="dxa"/>
          </w:tcPr>
          <w:p w:rsidR="00341349" w:rsidRPr="00FB2FDB" w:rsidRDefault="00341349" w:rsidP="00F8393E">
            <w:pPr>
              <w:rPr>
                <w:rFonts w:ascii="Century Gothic" w:hAnsi="Century Gothic"/>
                <w:sz w:val="20"/>
                <w:szCs w:val="20"/>
              </w:rPr>
            </w:pPr>
            <w:proofErr w:type="spellStart"/>
            <w:r w:rsidRPr="00FB2FDB">
              <w:rPr>
                <w:rFonts w:ascii="Century Gothic" w:hAnsi="Century Gothic"/>
                <w:sz w:val="20"/>
                <w:szCs w:val="20"/>
              </w:rPr>
              <w:t>Nov</w:t>
            </w:r>
            <w:proofErr w:type="spellEnd"/>
          </w:p>
        </w:tc>
        <w:tc>
          <w:tcPr>
            <w:tcW w:w="98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105,7</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101,1</w:t>
            </w:r>
          </w:p>
        </w:tc>
        <w:tc>
          <w:tcPr>
            <w:tcW w:w="998" w:type="dxa"/>
            <w:vAlign w:val="bottom"/>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120,9</w:t>
            </w:r>
          </w:p>
        </w:tc>
        <w:tc>
          <w:tcPr>
            <w:tcW w:w="998" w:type="dxa"/>
            <w:vAlign w:val="bottom"/>
          </w:tcPr>
          <w:p w:rsidR="00341349" w:rsidRPr="00FB2FDB" w:rsidRDefault="00341349" w:rsidP="00F8393E">
            <w:pPr>
              <w:rPr>
                <w:rFonts w:ascii="Century Gothic" w:hAnsi="Century Gothic"/>
                <w:color w:val="000000"/>
                <w:sz w:val="20"/>
                <w:szCs w:val="20"/>
              </w:rPr>
            </w:pPr>
            <w:r w:rsidRPr="00FB2FDB">
              <w:rPr>
                <w:rFonts w:ascii="Century Gothic" w:hAnsi="Century Gothic"/>
                <w:color w:val="000000"/>
                <w:sz w:val="20"/>
                <w:szCs w:val="20"/>
              </w:rPr>
              <w:t>107,6</w:t>
            </w:r>
          </w:p>
        </w:tc>
        <w:tc>
          <w:tcPr>
            <w:tcW w:w="87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101,2</w:t>
            </w:r>
          </w:p>
        </w:tc>
        <w:tc>
          <w:tcPr>
            <w:tcW w:w="1260"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100,7</w:t>
            </w:r>
          </w:p>
        </w:tc>
        <w:tc>
          <w:tcPr>
            <w:tcW w:w="856"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98,9</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99,2</w:t>
            </w:r>
          </w:p>
        </w:tc>
      </w:tr>
      <w:tr w:rsidR="00341349" w:rsidRPr="00FB2FDB" w:rsidTr="00D72820">
        <w:tc>
          <w:tcPr>
            <w:tcW w:w="100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Dez</w:t>
            </w:r>
          </w:p>
        </w:tc>
        <w:tc>
          <w:tcPr>
            <w:tcW w:w="98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93,5</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81,2</w:t>
            </w:r>
          </w:p>
        </w:tc>
        <w:tc>
          <w:tcPr>
            <w:tcW w:w="998"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85,1</w:t>
            </w:r>
          </w:p>
        </w:tc>
        <w:tc>
          <w:tcPr>
            <w:tcW w:w="998" w:type="dxa"/>
            <w:vAlign w:val="bottom"/>
          </w:tcPr>
          <w:p w:rsidR="00341349" w:rsidRPr="00FB2FDB" w:rsidRDefault="00341349" w:rsidP="00F8393E">
            <w:pPr>
              <w:rPr>
                <w:rFonts w:ascii="Century Gothic" w:hAnsi="Century Gothic"/>
                <w:color w:val="000000"/>
                <w:sz w:val="20"/>
                <w:szCs w:val="20"/>
              </w:rPr>
            </w:pPr>
            <w:r w:rsidRPr="00FB2FDB">
              <w:rPr>
                <w:rFonts w:ascii="Century Gothic" w:hAnsi="Century Gothic"/>
                <w:color w:val="000000"/>
                <w:sz w:val="20"/>
                <w:szCs w:val="20"/>
              </w:rPr>
              <w:t>94,3</w:t>
            </w:r>
          </w:p>
        </w:tc>
        <w:tc>
          <w:tcPr>
            <w:tcW w:w="87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98,9</w:t>
            </w:r>
          </w:p>
        </w:tc>
        <w:tc>
          <w:tcPr>
            <w:tcW w:w="1260" w:type="dxa"/>
            <w:vAlign w:val="bottom"/>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95,8</w:t>
            </w:r>
          </w:p>
        </w:tc>
        <w:tc>
          <w:tcPr>
            <w:tcW w:w="856"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94,3</w:t>
            </w:r>
          </w:p>
        </w:tc>
        <w:tc>
          <w:tcPr>
            <w:tcW w:w="998" w:type="dxa"/>
          </w:tcPr>
          <w:p w:rsidR="00341349" w:rsidRPr="00FB2FDB" w:rsidRDefault="00341349" w:rsidP="00F8393E">
            <w:pPr>
              <w:rPr>
                <w:rFonts w:ascii="Century Gothic" w:hAnsi="Century Gothic"/>
                <w:sz w:val="20"/>
                <w:szCs w:val="20"/>
              </w:rPr>
            </w:pPr>
            <w:r w:rsidRPr="00FB2FDB">
              <w:rPr>
                <w:rFonts w:ascii="Century Gothic" w:hAnsi="Century Gothic"/>
                <w:sz w:val="20"/>
                <w:szCs w:val="20"/>
              </w:rPr>
              <w:t>102,3</w:t>
            </w:r>
          </w:p>
        </w:tc>
      </w:tr>
      <w:tr w:rsidR="00341349" w:rsidRPr="00FB2FDB" w:rsidTr="00D72820">
        <w:tc>
          <w:tcPr>
            <w:tcW w:w="100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CV</w:t>
            </w:r>
          </w:p>
        </w:tc>
        <w:tc>
          <w:tcPr>
            <w:tcW w:w="98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0,128</w:t>
            </w:r>
          </w:p>
        </w:tc>
        <w:tc>
          <w:tcPr>
            <w:tcW w:w="99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0,082</w:t>
            </w:r>
          </w:p>
        </w:tc>
        <w:tc>
          <w:tcPr>
            <w:tcW w:w="99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0,146</w:t>
            </w:r>
          </w:p>
        </w:tc>
        <w:tc>
          <w:tcPr>
            <w:tcW w:w="99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0,098</w:t>
            </w:r>
          </w:p>
        </w:tc>
        <w:tc>
          <w:tcPr>
            <w:tcW w:w="878" w:type="dxa"/>
          </w:tcPr>
          <w:p w:rsidR="00341349" w:rsidRPr="00FB2FDB" w:rsidRDefault="00341349" w:rsidP="00F8393E">
            <w:pPr>
              <w:rPr>
                <w:rFonts w:ascii="Century Gothic" w:hAnsi="Century Gothic"/>
                <w:b/>
                <w:sz w:val="20"/>
                <w:szCs w:val="20"/>
              </w:rPr>
            </w:pPr>
            <w:r w:rsidRPr="00FB2FDB">
              <w:rPr>
                <w:rFonts w:ascii="Century Gothic" w:hAnsi="Century Gothic"/>
                <w:b/>
                <w:sz w:val="20"/>
                <w:szCs w:val="20"/>
              </w:rPr>
              <w:t>0,025</w:t>
            </w:r>
          </w:p>
        </w:tc>
        <w:tc>
          <w:tcPr>
            <w:tcW w:w="1260" w:type="dxa"/>
          </w:tcPr>
          <w:p w:rsidR="00341349" w:rsidRPr="00FB2FDB" w:rsidRDefault="00341349" w:rsidP="000B423A">
            <w:pPr>
              <w:rPr>
                <w:rFonts w:ascii="Century Gothic" w:hAnsi="Century Gothic"/>
                <w:b/>
                <w:sz w:val="20"/>
                <w:szCs w:val="20"/>
              </w:rPr>
            </w:pPr>
            <w:r w:rsidRPr="00FB2FDB">
              <w:rPr>
                <w:rFonts w:ascii="Century Gothic" w:hAnsi="Century Gothic"/>
                <w:b/>
                <w:sz w:val="20"/>
                <w:szCs w:val="20"/>
              </w:rPr>
              <w:t>0,046</w:t>
            </w:r>
          </w:p>
        </w:tc>
        <w:tc>
          <w:tcPr>
            <w:tcW w:w="856" w:type="dxa"/>
          </w:tcPr>
          <w:p w:rsidR="00341349" w:rsidRPr="00FB2FDB" w:rsidRDefault="00341349" w:rsidP="000B423A">
            <w:pPr>
              <w:rPr>
                <w:rFonts w:ascii="Century Gothic" w:hAnsi="Century Gothic"/>
                <w:b/>
                <w:sz w:val="20"/>
                <w:szCs w:val="20"/>
              </w:rPr>
            </w:pPr>
            <w:r w:rsidRPr="00FB2FDB">
              <w:rPr>
                <w:rFonts w:ascii="Century Gothic" w:hAnsi="Century Gothic"/>
                <w:b/>
                <w:sz w:val="20"/>
                <w:szCs w:val="20"/>
              </w:rPr>
              <w:t>0,040</w:t>
            </w:r>
          </w:p>
        </w:tc>
        <w:tc>
          <w:tcPr>
            <w:tcW w:w="998" w:type="dxa"/>
          </w:tcPr>
          <w:p w:rsidR="00341349" w:rsidRPr="00FB2FDB" w:rsidRDefault="00341349" w:rsidP="000B423A">
            <w:pPr>
              <w:rPr>
                <w:rFonts w:ascii="Century Gothic" w:hAnsi="Century Gothic"/>
                <w:b/>
                <w:sz w:val="20"/>
                <w:szCs w:val="20"/>
              </w:rPr>
            </w:pPr>
            <w:r w:rsidRPr="00FB2FDB">
              <w:rPr>
                <w:rFonts w:ascii="Century Gothic" w:hAnsi="Century Gothic"/>
                <w:b/>
                <w:sz w:val="20"/>
                <w:szCs w:val="20"/>
              </w:rPr>
              <w:t>0,029</w:t>
            </w:r>
          </w:p>
        </w:tc>
      </w:tr>
    </w:tbl>
    <w:p w:rsidR="00341349" w:rsidRPr="00FB2FDB" w:rsidRDefault="00341349" w:rsidP="00FB2FDB">
      <w:pPr>
        <w:ind w:firstLine="709"/>
        <w:jc w:val="both"/>
        <w:rPr>
          <w:rFonts w:ascii="Century Gothic" w:hAnsi="Century Gothic"/>
        </w:rPr>
      </w:pPr>
      <w:r w:rsidRPr="00FB2FDB">
        <w:rPr>
          <w:rFonts w:ascii="Century Gothic" w:hAnsi="Century Gothic"/>
        </w:rPr>
        <w:t>Fonte: &lt;www.ibge.gov.br&gt; Dados trabalhados pelos autores.</w:t>
      </w:r>
    </w:p>
    <w:p w:rsidR="00D21749" w:rsidRPr="00FB2FDB" w:rsidRDefault="00D21749" w:rsidP="00FB2FDB">
      <w:pPr>
        <w:jc w:val="both"/>
        <w:rPr>
          <w:rFonts w:ascii="Century Gothic" w:hAnsi="Century Gothic"/>
        </w:rPr>
      </w:pPr>
    </w:p>
    <w:p w:rsidR="00D21749" w:rsidRPr="00FB2FDB" w:rsidRDefault="00D21749" w:rsidP="00FB2FDB">
      <w:pPr>
        <w:ind w:firstLine="709"/>
        <w:jc w:val="both"/>
        <w:rPr>
          <w:rFonts w:ascii="Century Gothic" w:hAnsi="Century Gothic"/>
        </w:rPr>
      </w:pPr>
    </w:p>
    <w:p w:rsidR="00341349" w:rsidRPr="00FB2FDB" w:rsidRDefault="00341349" w:rsidP="00FB2FDB">
      <w:pPr>
        <w:jc w:val="both"/>
        <w:rPr>
          <w:rFonts w:ascii="Century Gothic" w:hAnsi="Century Gothic"/>
          <w:b/>
        </w:rPr>
      </w:pPr>
      <w:r w:rsidRPr="00FB2FDB">
        <w:rPr>
          <w:rFonts w:ascii="Century Gothic" w:hAnsi="Century Gothic"/>
          <w:b/>
        </w:rPr>
        <w:t>4.2 Teste de Diferença entre os Estoques em Função da Sazonalidade</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 xml:space="preserve">De posse das informações sobre a </w:t>
      </w:r>
      <w:proofErr w:type="spellStart"/>
      <w:r w:rsidRPr="00FB2FDB">
        <w:rPr>
          <w:rFonts w:ascii="Century Gothic" w:hAnsi="Century Gothic"/>
        </w:rPr>
        <w:t>estacionalidade</w:t>
      </w:r>
      <w:proofErr w:type="spellEnd"/>
      <w:r w:rsidRPr="00FB2FDB">
        <w:rPr>
          <w:rFonts w:ascii="Century Gothic" w:hAnsi="Century Gothic"/>
        </w:rPr>
        <w:t xml:space="preserve"> da produção, estimou-se um</w:t>
      </w:r>
      <w:r w:rsidR="00DA428F" w:rsidRPr="00FB2FDB">
        <w:rPr>
          <w:rFonts w:ascii="Century Gothic" w:hAnsi="Century Gothic"/>
        </w:rPr>
        <w:t>a</w:t>
      </w:r>
      <w:r w:rsidRPr="00FB2FDB">
        <w:rPr>
          <w:rFonts w:ascii="Century Gothic" w:hAnsi="Century Gothic"/>
        </w:rPr>
        <w:t xml:space="preserve"> ANOVA para avaliar se a maior ou menor variabilidade da produção teria impacto nos estoques trimestrais apresentados pelas organizações. Foram então selecionadas oito empresas, uma representante de cada setor, e coletou-se dados de 32 balanços trimestrais, iniciando-se no 4º trimestre de 2001 e chegando-se ao 3º trimestre de 2009. As informações foram obtidas no </w:t>
      </w:r>
      <w:r w:rsidRPr="00FB2FDB">
        <w:rPr>
          <w:rFonts w:ascii="Century Gothic" w:hAnsi="Century Gothic"/>
          <w:i/>
        </w:rPr>
        <w:t>website</w:t>
      </w:r>
      <w:r w:rsidRPr="00FB2FDB">
        <w:rPr>
          <w:rFonts w:ascii="Century Gothic" w:hAnsi="Century Gothic"/>
        </w:rPr>
        <w:t xml:space="preserve"> &lt;www.fundamentus.com.br&gt;. Os valores analisados correspondem ao índice estoques sobre ativo circulante.</w:t>
      </w:r>
    </w:p>
    <w:p w:rsidR="00341349" w:rsidRPr="00FB2FDB" w:rsidRDefault="00341349" w:rsidP="00FB2FDB">
      <w:pPr>
        <w:ind w:firstLine="709"/>
        <w:jc w:val="both"/>
        <w:rPr>
          <w:rFonts w:ascii="Century Gothic" w:hAnsi="Century Gothic"/>
        </w:rPr>
      </w:pPr>
      <w:r w:rsidRPr="00FB2FDB">
        <w:rPr>
          <w:rFonts w:ascii="Century Gothic" w:hAnsi="Century Gothic"/>
        </w:rPr>
        <w:lastRenderedPageBreak/>
        <w:t>A escolha das empresas foi por conveniência, devido à disponibilidade dos balanços no banco de dados utilizado e também em função da série histórica estar completa. Procurou-se também selecionar uma representante de cada setor, como forma de minimizar possíveis distorções causadas pelas características peculiares inerentes à atividade em questão.</w:t>
      </w:r>
    </w:p>
    <w:p w:rsidR="00341349" w:rsidRPr="00FB2FDB" w:rsidRDefault="00341349" w:rsidP="00FB2FDB">
      <w:pPr>
        <w:ind w:firstLine="709"/>
        <w:jc w:val="both"/>
        <w:rPr>
          <w:rFonts w:ascii="Century Gothic" w:hAnsi="Century Gothic"/>
        </w:rPr>
      </w:pPr>
      <w:r w:rsidRPr="00FB2FDB">
        <w:rPr>
          <w:rFonts w:ascii="Century Gothic" w:hAnsi="Century Gothic"/>
        </w:rPr>
        <w:t>Quanto ao período analisado, procurou-se captar características distintas da economia, com fases de crescimento, estabilidade e até mesmo desaceleração, conforme pode ser conferido em Conjuntura Econômica (2010).</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Os resultados da ANOVA podem ser vistos na Tabela 3. O teste de </w:t>
      </w:r>
      <w:proofErr w:type="spellStart"/>
      <w:r w:rsidRPr="00FB2FDB">
        <w:rPr>
          <w:rFonts w:ascii="Century Gothic" w:hAnsi="Century Gothic"/>
        </w:rPr>
        <w:t>Levene</w:t>
      </w:r>
      <w:proofErr w:type="spellEnd"/>
      <w:r w:rsidRPr="00FB2FDB">
        <w:rPr>
          <w:rFonts w:ascii="Century Gothic" w:hAnsi="Century Gothic"/>
        </w:rPr>
        <w:t xml:space="preserve"> indicou variâncias desiguais entre os grupos, mas devido ao tamanho da amostra e número idêntico de observações nos grupos, desconsiderou-se essa violação, conforme sugerido por </w:t>
      </w:r>
      <w:proofErr w:type="spellStart"/>
      <w:r w:rsidRPr="00FB2FDB">
        <w:rPr>
          <w:rFonts w:ascii="Century Gothic" w:hAnsi="Century Gothic"/>
        </w:rPr>
        <w:t>Hair</w:t>
      </w:r>
      <w:proofErr w:type="spellEnd"/>
      <w:r w:rsidRPr="00FB2FDB">
        <w:rPr>
          <w:rFonts w:ascii="Century Gothic" w:hAnsi="Century Gothic"/>
        </w:rPr>
        <w:t xml:space="preserve"> et al (2005,</w:t>
      </w:r>
      <w:r w:rsidR="00387EE1" w:rsidRPr="00FB2FDB">
        <w:rPr>
          <w:rFonts w:ascii="Century Gothic" w:hAnsi="Century Gothic"/>
        </w:rPr>
        <w:t xml:space="preserve"> </w:t>
      </w:r>
      <w:r w:rsidRPr="00FB2FDB">
        <w:rPr>
          <w:rFonts w:ascii="Century Gothic" w:hAnsi="Century Gothic"/>
        </w:rPr>
        <w:t xml:space="preserve">a). Pelo teste de </w:t>
      </w:r>
      <w:proofErr w:type="spellStart"/>
      <w:r w:rsidRPr="00FB2FDB">
        <w:rPr>
          <w:rFonts w:ascii="Century Gothic" w:hAnsi="Century Gothic"/>
        </w:rPr>
        <w:t>Kolmogorov-Smirnov</w:t>
      </w:r>
      <w:proofErr w:type="spellEnd"/>
      <w:r w:rsidRPr="00FB2FDB">
        <w:rPr>
          <w:rFonts w:ascii="Century Gothic" w:hAnsi="Century Gothic"/>
        </w:rPr>
        <w:t xml:space="preserve"> e também pela análise do gráfico Q-Q </w:t>
      </w:r>
      <w:proofErr w:type="spellStart"/>
      <w:r w:rsidRPr="00FB2FDB">
        <w:rPr>
          <w:rFonts w:ascii="Century Gothic" w:hAnsi="Century Gothic"/>
        </w:rPr>
        <w:t>plot</w:t>
      </w:r>
      <w:proofErr w:type="spellEnd"/>
      <w:r w:rsidRPr="00FB2FDB">
        <w:rPr>
          <w:rFonts w:ascii="Century Gothic" w:hAnsi="Century Gothic"/>
        </w:rPr>
        <w:t xml:space="preserve">, considera-se que os dados seguem distribuição normal. </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 xml:space="preserve">Tabela 3. Análise de Variância. </w:t>
      </w:r>
    </w:p>
    <w:tbl>
      <w:tblPr>
        <w:tblW w:w="8838" w:type="dxa"/>
        <w:tblInd w:w="93"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2080"/>
        <w:gridCol w:w="2186"/>
        <w:gridCol w:w="666"/>
        <w:gridCol w:w="2034"/>
        <w:gridCol w:w="846"/>
        <w:gridCol w:w="1026"/>
      </w:tblGrid>
      <w:tr w:rsidR="00341349" w:rsidRPr="00FB2FDB" w:rsidTr="00D72820">
        <w:trPr>
          <w:trHeight w:val="340"/>
        </w:trPr>
        <w:tc>
          <w:tcPr>
            <w:tcW w:w="2080"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p>
        </w:tc>
        <w:tc>
          <w:tcPr>
            <w:tcW w:w="2186"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Soma de quadrados</w:t>
            </w:r>
          </w:p>
        </w:tc>
        <w:tc>
          <w:tcPr>
            <w:tcW w:w="666"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roofErr w:type="spellStart"/>
            <w:proofErr w:type="gramStart"/>
            <w:r w:rsidRPr="00FB2FDB">
              <w:rPr>
                <w:rFonts w:ascii="Century Gothic" w:hAnsi="Century Gothic"/>
                <w:color w:val="000000"/>
                <w:sz w:val="20"/>
                <w:szCs w:val="20"/>
              </w:rPr>
              <w:t>gl</w:t>
            </w:r>
            <w:proofErr w:type="spellEnd"/>
            <w:proofErr w:type="gramEnd"/>
          </w:p>
        </w:tc>
        <w:tc>
          <w:tcPr>
            <w:tcW w:w="2034"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Quadrados médios</w:t>
            </w:r>
          </w:p>
        </w:tc>
        <w:tc>
          <w:tcPr>
            <w:tcW w:w="846"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F</w:t>
            </w:r>
          </w:p>
        </w:tc>
        <w:tc>
          <w:tcPr>
            <w:tcW w:w="1026"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roofErr w:type="spellStart"/>
            <w:r w:rsidRPr="00FB2FDB">
              <w:rPr>
                <w:rFonts w:ascii="Century Gothic" w:hAnsi="Century Gothic"/>
                <w:color w:val="000000"/>
                <w:sz w:val="20"/>
                <w:szCs w:val="20"/>
              </w:rPr>
              <w:t>Sig</w:t>
            </w:r>
            <w:proofErr w:type="spellEnd"/>
            <w:r w:rsidRPr="00FB2FDB">
              <w:rPr>
                <w:rFonts w:ascii="Century Gothic" w:hAnsi="Century Gothic"/>
                <w:color w:val="000000"/>
                <w:sz w:val="20"/>
                <w:szCs w:val="20"/>
              </w:rPr>
              <w:t>.</w:t>
            </w:r>
          </w:p>
        </w:tc>
      </w:tr>
      <w:tr w:rsidR="00341349" w:rsidRPr="00FB2FDB" w:rsidTr="00D72820">
        <w:trPr>
          <w:trHeight w:val="273"/>
        </w:trPr>
        <w:tc>
          <w:tcPr>
            <w:tcW w:w="2080" w:type="dxa"/>
            <w:tcBorders>
              <w:top w:val="single" w:sz="8" w:space="0" w:color="000000"/>
            </w:tcBorders>
            <w:shd w:val="clear" w:color="000000" w:fill="FFFFFF"/>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Entre grupos</w:t>
            </w:r>
          </w:p>
        </w:tc>
        <w:tc>
          <w:tcPr>
            <w:tcW w:w="2186" w:type="dxa"/>
            <w:tcBorders>
              <w:top w:val="single" w:sz="8" w:space="0" w:color="000000"/>
            </w:tcBorders>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r w:rsidRPr="00FB2FDB">
              <w:rPr>
                <w:rFonts w:ascii="Century Gothic" w:hAnsi="Century Gothic"/>
                <w:color w:val="000000"/>
                <w:sz w:val="20"/>
                <w:szCs w:val="20"/>
              </w:rPr>
              <w:t>0,135</w:t>
            </w:r>
          </w:p>
        </w:tc>
        <w:tc>
          <w:tcPr>
            <w:tcW w:w="666" w:type="dxa"/>
            <w:tcBorders>
              <w:top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1</w:t>
            </w:r>
          </w:p>
        </w:tc>
        <w:tc>
          <w:tcPr>
            <w:tcW w:w="2034" w:type="dxa"/>
            <w:tcBorders>
              <w:top w:val="single" w:sz="8" w:space="0" w:color="000000"/>
            </w:tcBorders>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r w:rsidRPr="00FB2FDB">
              <w:rPr>
                <w:rFonts w:ascii="Century Gothic" w:hAnsi="Century Gothic"/>
                <w:color w:val="000000"/>
                <w:sz w:val="20"/>
                <w:szCs w:val="20"/>
              </w:rPr>
              <w:t>0,135</w:t>
            </w:r>
          </w:p>
        </w:tc>
        <w:tc>
          <w:tcPr>
            <w:tcW w:w="846" w:type="dxa"/>
            <w:tcBorders>
              <w:top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9,142</w:t>
            </w:r>
          </w:p>
        </w:tc>
        <w:tc>
          <w:tcPr>
            <w:tcW w:w="1026" w:type="dxa"/>
            <w:tcBorders>
              <w:top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0,003</w:t>
            </w:r>
          </w:p>
        </w:tc>
      </w:tr>
      <w:tr w:rsidR="00341349" w:rsidRPr="00FB2FDB" w:rsidTr="00D72820">
        <w:trPr>
          <w:trHeight w:val="273"/>
        </w:trPr>
        <w:tc>
          <w:tcPr>
            <w:tcW w:w="2080" w:type="dxa"/>
            <w:shd w:val="clear" w:color="000000" w:fill="FFFFFF"/>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Dentro dos grupos</w:t>
            </w:r>
          </w:p>
        </w:tc>
        <w:tc>
          <w:tcPr>
            <w:tcW w:w="2186" w:type="dxa"/>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r w:rsidRPr="00FB2FDB">
              <w:rPr>
                <w:rFonts w:ascii="Century Gothic" w:hAnsi="Century Gothic"/>
                <w:color w:val="000000"/>
                <w:sz w:val="20"/>
                <w:szCs w:val="20"/>
              </w:rPr>
              <w:t>3,753</w:t>
            </w:r>
          </w:p>
        </w:tc>
        <w:tc>
          <w:tcPr>
            <w:tcW w:w="666"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54</w:t>
            </w:r>
          </w:p>
        </w:tc>
        <w:tc>
          <w:tcPr>
            <w:tcW w:w="2034" w:type="dxa"/>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r w:rsidRPr="00FB2FDB">
              <w:rPr>
                <w:rFonts w:ascii="Century Gothic" w:hAnsi="Century Gothic"/>
                <w:color w:val="000000"/>
                <w:sz w:val="20"/>
                <w:szCs w:val="20"/>
              </w:rPr>
              <w:t>0,015</w:t>
            </w:r>
          </w:p>
        </w:tc>
        <w:tc>
          <w:tcPr>
            <w:tcW w:w="846" w:type="dxa"/>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p>
        </w:tc>
        <w:tc>
          <w:tcPr>
            <w:tcW w:w="1026" w:type="dxa"/>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p>
        </w:tc>
      </w:tr>
      <w:tr w:rsidR="00341349" w:rsidRPr="00FB2FDB" w:rsidTr="00D72820">
        <w:trPr>
          <w:trHeight w:val="273"/>
        </w:trPr>
        <w:tc>
          <w:tcPr>
            <w:tcW w:w="2080" w:type="dxa"/>
            <w:shd w:val="clear" w:color="000000" w:fill="FFFFFF"/>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Total</w:t>
            </w:r>
          </w:p>
        </w:tc>
        <w:tc>
          <w:tcPr>
            <w:tcW w:w="2186" w:type="dxa"/>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r w:rsidRPr="00FB2FDB">
              <w:rPr>
                <w:rFonts w:ascii="Century Gothic" w:hAnsi="Century Gothic"/>
                <w:color w:val="000000"/>
                <w:sz w:val="20"/>
                <w:szCs w:val="20"/>
              </w:rPr>
              <w:t>3,888</w:t>
            </w:r>
          </w:p>
        </w:tc>
        <w:tc>
          <w:tcPr>
            <w:tcW w:w="666"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55</w:t>
            </w:r>
          </w:p>
        </w:tc>
        <w:tc>
          <w:tcPr>
            <w:tcW w:w="2034" w:type="dxa"/>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p>
        </w:tc>
        <w:tc>
          <w:tcPr>
            <w:tcW w:w="846" w:type="dxa"/>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p>
        </w:tc>
        <w:tc>
          <w:tcPr>
            <w:tcW w:w="1026" w:type="dxa"/>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p>
        </w:tc>
      </w:tr>
    </w:tbl>
    <w:p w:rsidR="00341349" w:rsidRPr="00F8393E" w:rsidRDefault="00F8393E" w:rsidP="00FB2FDB">
      <w:pPr>
        <w:autoSpaceDE w:val="0"/>
        <w:autoSpaceDN w:val="0"/>
        <w:adjustRightInd w:val="0"/>
        <w:ind w:firstLine="709"/>
        <w:rPr>
          <w:rFonts w:ascii="Century Gothic" w:hAnsi="Century Gothic" w:cs="Arial"/>
          <w:color w:val="000000"/>
          <w:sz w:val="20"/>
          <w:szCs w:val="20"/>
        </w:rPr>
      </w:pPr>
      <w:r w:rsidRPr="00F8393E">
        <w:rPr>
          <w:rFonts w:ascii="Century Gothic" w:hAnsi="Century Gothic" w:cs="Arial"/>
          <w:color w:val="000000"/>
          <w:sz w:val="20"/>
          <w:szCs w:val="20"/>
        </w:rPr>
        <w:t>Fonte: Elaborada pelos autores.</w:t>
      </w:r>
    </w:p>
    <w:p w:rsidR="00F8393E" w:rsidRPr="00FB2FDB" w:rsidRDefault="00F8393E" w:rsidP="00FB2FDB">
      <w:pPr>
        <w:autoSpaceDE w:val="0"/>
        <w:autoSpaceDN w:val="0"/>
        <w:adjustRightInd w:val="0"/>
        <w:ind w:firstLine="709"/>
        <w:rPr>
          <w:rFonts w:ascii="Century Gothic" w:hAnsi="Century Gothic" w:cs="Arial"/>
          <w:color w:val="000000"/>
          <w:sz w:val="18"/>
          <w:szCs w:val="18"/>
        </w:rPr>
      </w:pPr>
    </w:p>
    <w:p w:rsidR="00341349" w:rsidRPr="00FB2FDB" w:rsidRDefault="00341349" w:rsidP="00FB2FDB">
      <w:pPr>
        <w:ind w:firstLine="709"/>
        <w:jc w:val="both"/>
        <w:rPr>
          <w:rFonts w:ascii="Century Gothic" w:hAnsi="Century Gothic"/>
        </w:rPr>
      </w:pPr>
      <w:r w:rsidRPr="00FB2FDB">
        <w:rPr>
          <w:rFonts w:ascii="Century Gothic" w:hAnsi="Century Gothic"/>
        </w:rPr>
        <w:t>Como pode ser observado, o nível de significância de 0,003 indica que as médias são diferentes entre os 2 grupos. Com base nesse resultado, verifica-se que a sazonalidade causa impactos significativos sobre os estoques. Analisando-se as estatísticas descritivas</w:t>
      </w:r>
      <w:r w:rsidR="0078149D" w:rsidRPr="00FB2FDB">
        <w:rPr>
          <w:rFonts w:ascii="Century Gothic" w:hAnsi="Century Gothic"/>
        </w:rPr>
        <w:t xml:space="preserve"> (Tabela 1)</w:t>
      </w:r>
      <w:r w:rsidRPr="00FB2FDB">
        <w:rPr>
          <w:rFonts w:ascii="Century Gothic" w:hAnsi="Century Gothic"/>
        </w:rPr>
        <w:t xml:space="preserve">, nota-se que a média do grupo 1, com baixa sazonalidade, é de 0,3023, ou seja, os estoques representam aproximadamente 30% do ativo circulante. Já para o grupo 2, em que a </w:t>
      </w:r>
      <w:proofErr w:type="spellStart"/>
      <w:r w:rsidRPr="00FB2FDB">
        <w:rPr>
          <w:rFonts w:ascii="Century Gothic" w:hAnsi="Century Gothic"/>
        </w:rPr>
        <w:t>estacionalidade</w:t>
      </w:r>
      <w:proofErr w:type="spellEnd"/>
      <w:r w:rsidRPr="00FB2FDB">
        <w:rPr>
          <w:rFonts w:ascii="Century Gothic" w:hAnsi="Century Gothic"/>
        </w:rPr>
        <w:t xml:space="preserve"> é mais acentuada, os estoques alcançam 0,3482, número bastante superior em relação ao primeiro. </w:t>
      </w:r>
    </w:p>
    <w:p w:rsidR="002E5B61" w:rsidRPr="00FB2FDB" w:rsidRDefault="00341349" w:rsidP="00FB2FDB">
      <w:pPr>
        <w:ind w:firstLine="709"/>
        <w:jc w:val="both"/>
        <w:rPr>
          <w:rFonts w:ascii="Century Gothic" w:hAnsi="Century Gothic" w:cs="Times-Roman"/>
        </w:rPr>
      </w:pPr>
      <w:r w:rsidRPr="00FB2FDB">
        <w:rPr>
          <w:rFonts w:ascii="Century Gothic" w:hAnsi="Century Gothic"/>
        </w:rPr>
        <w:t xml:space="preserve">De acordo com </w:t>
      </w:r>
      <w:proofErr w:type="spellStart"/>
      <w:r w:rsidRPr="00FB2FDB">
        <w:rPr>
          <w:rFonts w:ascii="Century Gothic" w:hAnsi="Century Gothic"/>
        </w:rPr>
        <w:t>Ángulo</w:t>
      </w:r>
      <w:proofErr w:type="spellEnd"/>
      <w:r w:rsidRPr="00FB2FDB">
        <w:rPr>
          <w:rFonts w:ascii="Century Gothic" w:hAnsi="Century Gothic"/>
        </w:rPr>
        <w:t xml:space="preserve">, </w:t>
      </w:r>
      <w:proofErr w:type="spellStart"/>
      <w:r w:rsidRPr="00FB2FDB">
        <w:rPr>
          <w:rFonts w:ascii="Century Gothic" w:hAnsi="Century Gothic"/>
        </w:rPr>
        <w:t>Nachtmann</w:t>
      </w:r>
      <w:proofErr w:type="spellEnd"/>
      <w:r w:rsidR="00387EE1" w:rsidRPr="00FB2FDB">
        <w:rPr>
          <w:rFonts w:ascii="Century Gothic" w:hAnsi="Century Gothic"/>
        </w:rPr>
        <w:t xml:space="preserve"> e</w:t>
      </w:r>
      <w:r w:rsidRPr="00FB2FDB">
        <w:rPr>
          <w:rFonts w:ascii="Century Gothic" w:hAnsi="Century Gothic"/>
        </w:rPr>
        <w:t xml:space="preserve"> </w:t>
      </w:r>
      <w:proofErr w:type="spellStart"/>
      <w:r w:rsidRPr="00FB2FDB">
        <w:rPr>
          <w:rFonts w:ascii="Century Gothic" w:hAnsi="Century Gothic"/>
        </w:rPr>
        <w:t>Waller</w:t>
      </w:r>
      <w:proofErr w:type="spellEnd"/>
      <w:r w:rsidRPr="00FB2FDB">
        <w:rPr>
          <w:rFonts w:ascii="Century Gothic" w:hAnsi="Century Gothic"/>
        </w:rPr>
        <w:t xml:space="preserve"> (2004), </w:t>
      </w:r>
      <w:proofErr w:type="spellStart"/>
      <w:r w:rsidRPr="00FB2FDB">
        <w:rPr>
          <w:rFonts w:ascii="Century Gothic" w:hAnsi="Century Gothic" w:cs="Times-Roman"/>
        </w:rPr>
        <w:t>Ritzman</w:t>
      </w:r>
      <w:proofErr w:type="spellEnd"/>
      <w:r w:rsidRPr="00FB2FDB">
        <w:rPr>
          <w:rFonts w:ascii="Century Gothic" w:hAnsi="Century Gothic" w:cs="Times-Roman"/>
        </w:rPr>
        <w:t xml:space="preserve"> e </w:t>
      </w:r>
      <w:proofErr w:type="spellStart"/>
      <w:r w:rsidRPr="00FB2FDB">
        <w:rPr>
          <w:rFonts w:ascii="Century Gothic" w:hAnsi="Century Gothic" w:cs="Times-Roman"/>
        </w:rPr>
        <w:t>Krajewski</w:t>
      </w:r>
      <w:proofErr w:type="spellEnd"/>
      <w:r w:rsidRPr="00FB2FDB">
        <w:rPr>
          <w:rFonts w:ascii="Century Gothic" w:hAnsi="Century Gothic" w:cs="Times-Roman"/>
        </w:rPr>
        <w:t xml:space="preserve"> (2004), </w:t>
      </w:r>
      <w:proofErr w:type="spellStart"/>
      <w:r w:rsidRPr="00FB2FDB">
        <w:rPr>
          <w:rFonts w:ascii="Century Gothic" w:hAnsi="Century Gothic" w:cs="Times-Roman"/>
        </w:rPr>
        <w:t>Ballou</w:t>
      </w:r>
      <w:proofErr w:type="spellEnd"/>
      <w:r w:rsidRPr="00FB2FDB">
        <w:rPr>
          <w:rFonts w:ascii="Century Gothic" w:hAnsi="Century Gothic" w:cs="Times-Roman"/>
        </w:rPr>
        <w:t xml:space="preserve"> (2001), </w:t>
      </w:r>
      <w:proofErr w:type="spellStart"/>
      <w:r w:rsidRPr="00FB2FDB">
        <w:rPr>
          <w:rFonts w:ascii="Century Gothic" w:hAnsi="Century Gothic" w:cs="Times-Roman"/>
        </w:rPr>
        <w:t>Bowersox</w:t>
      </w:r>
      <w:proofErr w:type="spellEnd"/>
      <w:r w:rsidR="0076021E">
        <w:rPr>
          <w:rFonts w:ascii="Century Gothic" w:hAnsi="Century Gothic" w:cs="Times-Roman"/>
        </w:rPr>
        <w:t xml:space="preserve"> e </w:t>
      </w:r>
      <w:proofErr w:type="spellStart"/>
      <w:r w:rsidR="0076021E">
        <w:rPr>
          <w:rFonts w:ascii="Century Gothic" w:hAnsi="Century Gothic" w:cs="Times-Roman"/>
        </w:rPr>
        <w:t>Closs</w:t>
      </w:r>
      <w:proofErr w:type="spellEnd"/>
      <w:r w:rsidRPr="00FB2FDB">
        <w:rPr>
          <w:rFonts w:ascii="Century Gothic" w:hAnsi="Century Gothic" w:cs="Times-Roman"/>
        </w:rPr>
        <w:t xml:space="preserve"> (20</w:t>
      </w:r>
      <w:r w:rsidR="0076021E">
        <w:rPr>
          <w:rFonts w:ascii="Century Gothic" w:hAnsi="Century Gothic" w:cs="Times-Roman"/>
        </w:rPr>
        <w:t>10</w:t>
      </w:r>
      <w:r w:rsidRPr="00FB2FDB">
        <w:rPr>
          <w:rFonts w:ascii="Century Gothic" w:hAnsi="Century Gothic" w:cs="Times-Roman"/>
        </w:rPr>
        <w:t xml:space="preserve">) e Slack et al. (2002), os estoques possibilitam atender de forma eficiente a demanda mesmo que essa sofra variações. Pelos resultados, observa-se que as empresas com maiores flutuações sazonais de </w:t>
      </w:r>
      <w:r w:rsidR="00223DEC" w:rsidRPr="00FB2FDB">
        <w:rPr>
          <w:rFonts w:ascii="Century Gothic" w:hAnsi="Century Gothic" w:cs="Times-Roman"/>
        </w:rPr>
        <w:t>produção</w:t>
      </w:r>
      <w:r w:rsidRPr="00FB2FDB">
        <w:rPr>
          <w:rFonts w:ascii="Century Gothic" w:hAnsi="Century Gothic" w:cs="Times-Roman"/>
        </w:rPr>
        <w:t xml:space="preserve"> mantêm níveis mais elevados de estoques, confirmando as proposições dos autores</w:t>
      </w:r>
      <w:r w:rsidR="00F42AB9" w:rsidRPr="00FB2FDB">
        <w:rPr>
          <w:rFonts w:ascii="Century Gothic" w:hAnsi="Century Gothic" w:cs="Times-Roman"/>
        </w:rPr>
        <w:t>.</w:t>
      </w:r>
    </w:p>
    <w:p w:rsidR="002E5B61" w:rsidRPr="00FB2FDB" w:rsidRDefault="002E5B61" w:rsidP="00FB2FDB">
      <w:pPr>
        <w:ind w:firstLine="709"/>
        <w:jc w:val="both"/>
        <w:rPr>
          <w:rFonts w:ascii="Century Gothic" w:hAnsi="Century Gothic"/>
        </w:rPr>
      </w:pPr>
      <w:r w:rsidRPr="00FB2FDB">
        <w:rPr>
          <w:rFonts w:ascii="Century Gothic" w:hAnsi="Century Gothic" w:cs="Times-Roman"/>
        </w:rPr>
        <w:t>Tal resultado confirma as proposições de Carpenter</w:t>
      </w:r>
      <w:r w:rsidR="00675441" w:rsidRPr="00FB2FDB">
        <w:rPr>
          <w:rFonts w:ascii="Century Gothic" w:hAnsi="Century Gothic" w:cs="Times-Roman"/>
        </w:rPr>
        <w:t xml:space="preserve"> e Levy (1988), segundos as quais flutuações sazonais de vendas são as principais responsáveis por variações de estoques. Por outro lado, </w:t>
      </w:r>
      <w:proofErr w:type="spellStart"/>
      <w:r w:rsidR="00675441" w:rsidRPr="00FB2FDB">
        <w:rPr>
          <w:rFonts w:ascii="Century Gothic" w:hAnsi="Century Gothic"/>
        </w:rPr>
        <w:t>Kaya</w:t>
      </w:r>
      <w:proofErr w:type="spellEnd"/>
      <w:r w:rsidR="00675441" w:rsidRPr="00FB2FDB">
        <w:rPr>
          <w:rFonts w:ascii="Century Gothic" w:hAnsi="Century Gothic"/>
        </w:rPr>
        <w:t xml:space="preserve"> e </w:t>
      </w:r>
      <w:proofErr w:type="spellStart"/>
      <w:r w:rsidR="00675441" w:rsidRPr="00FB2FDB">
        <w:rPr>
          <w:rFonts w:ascii="Century Gothic" w:hAnsi="Century Gothic"/>
        </w:rPr>
        <w:t>Banerjee</w:t>
      </w:r>
      <w:proofErr w:type="spellEnd"/>
      <w:r w:rsidR="00675441" w:rsidRPr="00FB2FDB">
        <w:rPr>
          <w:rFonts w:ascii="Century Gothic" w:hAnsi="Century Gothic"/>
        </w:rPr>
        <w:t xml:space="preserve"> (2012) afirmam que as variações de curto prazo não explicam as flutuações de estoque, contradizendo os achados. Porém, tais autores avaliaram o setor comercial, e talvez por isso os resultados sejam contraditórios.</w:t>
      </w:r>
    </w:p>
    <w:p w:rsidR="00341349" w:rsidRPr="00FB2FDB" w:rsidRDefault="00341349" w:rsidP="00FB2FDB">
      <w:pPr>
        <w:ind w:firstLine="709"/>
        <w:jc w:val="both"/>
        <w:rPr>
          <w:rFonts w:ascii="Century Gothic" w:hAnsi="Century Gothic"/>
        </w:rPr>
      </w:pPr>
    </w:p>
    <w:p w:rsidR="00341349" w:rsidRPr="00FB2FDB" w:rsidRDefault="00341349" w:rsidP="00FB2FDB">
      <w:pPr>
        <w:jc w:val="both"/>
        <w:rPr>
          <w:rFonts w:ascii="Century Gothic" w:hAnsi="Century Gothic"/>
          <w:b/>
        </w:rPr>
      </w:pPr>
      <w:r w:rsidRPr="00FB2FDB">
        <w:rPr>
          <w:rFonts w:ascii="Century Gothic" w:hAnsi="Century Gothic"/>
          <w:b/>
        </w:rPr>
        <w:t>4.3 Teste de Diferença entre os Estoques em Função do Período</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lastRenderedPageBreak/>
        <w:t xml:space="preserve">Objetivando-se confirmar os resultados da seção anterior e verificar como se comportam os estoques ao longo do ano, em cada grupo de empresas, duas </w:t>
      </w:r>
      <w:proofErr w:type="spellStart"/>
      <w:r w:rsidRPr="00FB2FDB">
        <w:rPr>
          <w:rFonts w:ascii="Century Gothic" w:hAnsi="Century Gothic"/>
        </w:rPr>
        <w:t>ANOVA’s</w:t>
      </w:r>
      <w:proofErr w:type="spellEnd"/>
      <w:r w:rsidRPr="00FB2FDB">
        <w:rPr>
          <w:rFonts w:ascii="Century Gothic" w:hAnsi="Century Gothic"/>
        </w:rPr>
        <w:t xml:space="preserve"> foram estimadas, cujos resultados são mostrados na Tabela 4 e Tabela 5. Nos dois casos, o Teste de </w:t>
      </w:r>
      <w:proofErr w:type="spellStart"/>
      <w:r w:rsidRPr="00FB2FDB">
        <w:rPr>
          <w:rFonts w:ascii="Century Gothic" w:hAnsi="Century Gothic"/>
        </w:rPr>
        <w:t>Levene</w:t>
      </w:r>
      <w:proofErr w:type="spellEnd"/>
      <w:r w:rsidRPr="00FB2FDB">
        <w:rPr>
          <w:rFonts w:ascii="Century Gothic" w:hAnsi="Century Gothic"/>
        </w:rPr>
        <w:t xml:space="preserve"> indicou variâncias constantes.</w:t>
      </w:r>
    </w:p>
    <w:p w:rsidR="00EF48DA" w:rsidRPr="00FB2FDB" w:rsidRDefault="00EF48DA" w:rsidP="00FB2FDB">
      <w:pPr>
        <w:ind w:firstLine="709"/>
        <w:jc w:val="both"/>
        <w:rPr>
          <w:rFonts w:ascii="Century Gothic" w:hAnsi="Century Gothic"/>
        </w:rPr>
      </w:pPr>
      <w:r w:rsidRPr="00FB2FDB">
        <w:rPr>
          <w:rFonts w:ascii="Century Gothic" w:hAnsi="Century Gothic"/>
        </w:rPr>
        <w:t xml:space="preserve">Como pode ser percebido, tanto para o grupo 1, com baixa </w:t>
      </w:r>
      <w:proofErr w:type="spellStart"/>
      <w:r w:rsidRPr="00FB2FDB">
        <w:rPr>
          <w:rFonts w:ascii="Century Gothic" w:hAnsi="Century Gothic"/>
        </w:rPr>
        <w:t>estacionalidade</w:t>
      </w:r>
      <w:proofErr w:type="spellEnd"/>
      <w:r w:rsidRPr="00FB2FDB">
        <w:rPr>
          <w:rFonts w:ascii="Century Gothic" w:hAnsi="Century Gothic"/>
        </w:rPr>
        <w:t xml:space="preserve">, quanto para o grupo 2, com </w:t>
      </w:r>
      <w:proofErr w:type="spellStart"/>
      <w:r w:rsidRPr="00FB2FDB">
        <w:rPr>
          <w:rFonts w:ascii="Century Gothic" w:hAnsi="Century Gothic"/>
        </w:rPr>
        <w:t>estacionalidade</w:t>
      </w:r>
      <w:proofErr w:type="spellEnd"/>
      <w:r w:rsidRPr="00FB2FDB">
        <w:rPr>
          <w:rFonts w:ascii="Century Gothic" w:hAnsi="Century Gothic"/>
        </w:rPr>
        <w:t xml:space="preserve"> mais elevada, os estoques não diferem ao longo do ano, ou seja, os estoques são estatisticamente equivalentes ao longo dos trimestres para ambos os grupos.</w:t>
      </w:r>
    </w:p>
    <w:p w:rsidR="00F42AB9" w:rsidRPr="00FB2FDB" w:rsidRDefault="00F42AB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Tabela 4. Análise de Variância, por trimestre. Grupo 1, baixa sazonalidade.</w:t>
      </w:r>
    </w:p>
    <w:tbl>
      <w:tblPr>
        <w:tblW w:w="9180" w:type="dxa"/>
        <w:tblInd w:w="93"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1980"/>
        <w:gridCol w:w="2160"/>
        <w:gridCol w:w="720"/>
        <w:gridCol w:w="1980"/>
        <w:gridCol w:w="1260"/>
        <w:gridCol w:w="1080"/>
      </w:tblGrid>
      <w:tr w:rsidR="00341349" w:rsidRPr="00FB2FDB" w:rsidTr="00D72820">
        <w:trPr>
          <w:trHeight w:val="340"/>
        </w:trPr>
        <w:tc>
          <w:tcPr>
            <w:tcW w:w="1980"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p>
        </w:tc>
        <w:tc>
          <w:tcPr>
            <w:tcW w:w="2160"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Soma de quadrados</w:t>
            </w:r>
          </w:p>
        </w:tc>
        <w:tc>
          <w:tcPr>
            <w:tcW w:w="720"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roofErr w:type="spellStart"/>
            <w:proofErr w:type="gramStart"/>
            <w:r w:rsidRPr="00FB2FDB">
              <w:rPr>
                <w:rFonts w:ascii="Century Gothic" w:hAnsi="Century Gothic"/>
                <w:color w:val="000000"/>
                <w:sz w:val="20"/>
                <w:szCs w:val="20"/>
              </w:rPr>
              <w:t>gl</w:t>
            </w:r>
            <w:proofErr w:type="spellEnd"/>
            <w:proofErr w:type="gramEnd"/>
          </w:p>
        </w:tc>
        <w:tc>
          <w:tcPr>
            <w:tcW w:w="1980"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Quadrados médios</w:t>
            </w:r>
          </w:p>
        </w:tc>
        <w:tc>
          <w:tcPr>
            <w:tcW w:w="1260"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F</w:t>
            </w:r>
          </w:p>
        </w:tc>
        <w:tc>
          <w:tcPr>
            <w:tcW w:w="1080"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roofErr w:type="spellStart"/>
            <w:r w:rsidRPr="00FB2FDB">
              <w:rPr>
                <w:rFonts w:ascii="Century Gothic" w:hAnsi="Century Gothic"/>
                <w:color w:val="000000"/>
                <w:sz w:val="20"/>
                <w:szCs w:val="20"/>
              </w:rPr>
              <w:t>Sig</w:t>
            </w:r>
            <w:proofErr w:type="spellEnd"/>
            <w:r w:rsidRPr="00FB2FDB">
              <w:rPr>
                <w:rFonts w:ascii="Century Gothic" w:hAnsi="Century Gothic"/>
                <w:color w:val="000000"/>
                <w:sz w:val="20"/>
                <w:szCs w:val="20"/>
              </w:rPr>
              <w:t>.</w:t>
            </w:r>
          </w:p>
        </w:tc>
      </w:tr>
      <w:tr w:rsidR="00341349" w:rsidRPr="00FB2FDB" w:rsidTr="00D72820">
        <w:trPr>
          <w:trHeight w:val="273"/>
        </w:trPr>
        <w:tc>
          <w:tcPr>
            <w:tcW w:w="1980" w:type="dxa"/>
            <w:tcBorders>
              <w:top w:val="single" w:sz="8" w:space="0" w:color="000000"/>
            </w:tcBorders>
            <w:shd w:val="clear" w:color="000000" w:fill="FFFFFF"/>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Entre grupos</w:t>
            </w:r>
          </w:p>
        </w:tc>
        <w:tc>
          <w:tcPr>
            <w:tcW w:w="2160" w:type="dxa"/>
            <w:tcBorders>
              <w:top w:val="single" w:sz="8" w:space="0" w:color="000000"/>
            </w:tcBorders>
            <w:shd w:val="clear" w:color="000000" w:fill="FFFFFF"/>
            <w:vAlign w:val="center"/>
          </w:tcPr>
          <w:p w:rsidR="00341349" w:rsidRPr="00FB2FDB" w:rsidRDefault="000B423A" w:rsidP="000B423A">
            <w:pPr>
              <w:autoSpaceDE w:val="0"/>
              <w:autoSpaceDN w:val="0"/>
              <w:adjustRightInd w:val="0"/>
              <w:jc w:val="center"/>
              <w:rPr>
                <w:rFonts w:ascii="Century Gothic" w:hAnsi="Century Gothic"/>
                <w:color w:val="000000"/>
                <w:sz w:val="20"/>
                <w:szCs w:val="20"/>
              </w:rPr>
            </w:pPr>
            <w:r>
              <w:rPr>
                <w:rFonts w:ascii="Century Gothic" w:hAnsi="Century Gothic"/>
                <w:color w:val="000000"/>
                <w:sz w:val="20"/>
                <w:szCs w:val="20"/>
              </w:rPr>
              <w:t>0</w:t>
            </w:r>
            <w:r w:rsidR="00341349" w:rsidRPr="00FB2FDB">
              <w:rPr>
                <w:rFonts w:ascii="Century Gothic" w:hAnsi="Century Gothic"/>
                <w:color w:val="000000"/>
                <w:sz w:val="20"/>
                <w:szCs w:val="20"/>
              </w:rPr>
              <w:t>,0</w:t>
            </w:r>
            <w:r>
              <w:rPr>
                <w:rFonts w:ascii="Century Gothic" w:hAnsi="Century Gothic"/>
                <w:color w:val="000000"/>
                <w:sz w:val="20"/>
                <w:szCs w:val="20"/>
              </w:rPr>
              <w:t>19</w:t>
            </w:r>
          </w:p>
        </w:tc>
        <w:tc>
          <w:tcPr>
            <w:tcW w:w="720" w:type="dxa"/>
            <w:tcBorders>
              <w:top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3</w:t>
            </w:r>
          </w:p>
        </w:tc>
        <w:tc>
          <w:tcPr>
            <w:tcW w:w="1980" w:type="dxa"/>
            <w:tcBorders>
              <w:top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,007</w:t>
            </w:r>
          </w:p>
        </w:tc>
        <w:tc>
          <w:tcPr>
            <w:tcW w:w="1260" w:type="dxa"/>
            <w:tcBorders>
              <w:top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0,277</w:t>
            </w:r>
          </w:p>
        </w:tc>
        <w:tc>
          <w:tcPr>
            <w:tcW w:w="1080" w:type="dxa"/>
            <w:tcBorders>
              <w:top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,842</w:t>
            </w:r>
          </w:p>
        </w:tc>
      </w:tr>
      <w:tr w:rsidR="00341349" w:rsidRPr="00FB2FDB" w:rsidTr="00D72820">
        <w:trPr>
          <w:trHeight w:val="273"/>
        </w:trPr>
        <w:tc>
          <w:tcPr>
            <w:tcW w:w="1980" w:type="dxa"/>
            <w:shd w:val="clear" w:color="000000" w:fill="FFFFFF"/>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Dentro dos grupos</w:t>
            </w:r>
          </w:p>
        </w:tc>
        <w:tc>
          <w:tcPr>
            <w:tcW w:w="216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2,939</w:t>
            </w:r>
          </w:p>
        </w:tc>
        <w:tc>
          <w:tcPr>
            <w:tcW w:w="72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4</w:t>
            </w:r>
          </w:p>
        </w:tc>
        <w:tc>
          <w:tcPr>
            <w:tcW w:w="198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,024</w:t>
            </w:r>
          </w:p>
        </w:tc>
        <w:tc>
          <w:tcPr>
            <w:tcW w:w="126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
        </w:tc>
        <w:tc>
          <w:tcPr>
            <w:tcW w:w="1080" w:type="dxa"/>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p>
        </w:tc>
      </w:tr>
      <w:tr w:rsidR="00341349" w:rsidRPr="00FB2FDB" w:rsidTr="00D72820">
        <w:trPr>
          <w:trHeight w:val="273"/>
        </w:trPr>
        <w:tc>
          <w:tcPr>
            <w:tcW w:w="1980" w:type="dxa"/>
            <w:shd w:val="clear" w:color="000000" w:fill="FFFFFF"/>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Total</w:t>
            </w:r>
          </w:p>
        </w:tc>
        <w:tc>
          <w:tcPr>
            <w:tcW w:w="216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2,958</w:t>
            </w:r>
          </w:p>
        </w:tc>
        <w:tc>
          <w:tcPr>
            <w:tcW w:w="72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7</w:t>
            </w:r>
          </w:p>
        </w:tc>
        <w:tc>
          <w:tcPr>
            <w:tcW w:w="198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
        </w:tc>
        <w:tc>
          <w:tcPr>
            <w:tcW w:w="126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
        </w:tc>
        <w:tc>
          <w:tcPr>
            <w:tcW w:w="108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
        </w:tc>
      </w:tr>
    </w:tbl>
    <w:p w:rsidR="00341349" w:rsidRPr="000B423A" w:rsidRDefault="000B423A" w:rsidP="00FB2FDB">
      <w:pPr>
        <w:ind w:firstLine="709"/>
        <w:jc w:val="both"/>
        <w:rPr>
          <w:rFonts w:ascii="Century Gothic" w:hAnsi="Century Gothic"/>
          <w:sz w:val="20"/>
          <w:szCs w:val="20"/>
        </w:rPr>
      </w:pPr>
      <w:r w:rsidRPr="000B423A">
        <w:rPr>
          <w:rFonts w:ascii="Century Gothic" w:hAnsi="Century Gothic"/>
          <w:sz w:val="20"/>
          <w:szCs w:val="20"/>
        </w:rPr>
        <w:t>Fonte: Elaborada pelos autores.</w:t>
      </w:r>
    </w:p>
    <w:p w:rsidR="000B423A" w:rsidRDefault="000B423A"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Tabela 5. Análise de Variância, por trimestre. Grupo 2, alta sazonalidade.</w:t>
      </w:r>
    </w:p>
    <w:tbl>
      <w:tblPr>
        <w:tblW w:w="9180" w:type="dxa"/>
        <w:tblInd w:w="93" w:type="dxa"/>
        <w:tblBorders>
          <w:top w:val="single" w:sz="12" w:space="0" w:color="000000"/>
          <w:bottom w:val="single" w:sz="12" w:space="0" w:color="000000"/>
        </w:tblBorders>
        <w:tblLayout w:type="fixed"/>
        <w:tblCellMar>
          <w:left w:w="93" w:type="dxa"/>
          <w:right w:w="93" w:type="dxa"/>
        </w:tblCellMar>
        <w:tblLook w:val="0000" w:firstRow="0" w:lastRow="0" w:firstColumn="0" w:lastColumn="0" w:noHBand="0" w:noVBand="0"/>
      </w:tblPr>
      <w:tblGrid>
        <w:gridCol w:w="1980"/>
        <w:gridCol w:w="2160"/>
        <w:gridCol w:w="720"/>
        <w:gridCol w:w="1980"/>
        <w:gridCol w:w="1260"/>
        <w:gridCol w:w="1080"/>
      </w:tblGrid>
      <w:tr w:rsidR="00341349" w:rsidRPr="00FB2FDB" w:rsidTr="00D72820">
        <w:trPr>
          <w:trHeight w:val="340"/>
        </w:trPr>
        <w:tc>
          <w:tcPr>
            <w:tcW w:w="1980"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
        </w:tc>
        <w:tc>
          <w:tcPr>
            <w:tcW w:w="2160"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Soma de quadrados</w:t>
            </w:r>
          </w:p>
        </w:tc>
        <w:tc>
          <w:tcPr>
            <w:tcW w:w="720"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roofErr w:type="spellStart"/>
            <w:proofErr w:type="gramStart"/>
            <w:r w:rsidRPr="00FB2FDB">
              <w:rPr>
                <w:rFonts w:ascii="Century Gothic" w:hAnsi="Century Gothic"/>
                <w:color w:val="000000"/>
                <w:sz w:val="20"/>
                <w:szCs w:val="20"/>
              </w:rPr>
              <w:t>gl</w:t>
            </w:r>
            <w:proofErr w:type="spellEnd"/>
            <w:proofErr w:type="gramEnd"/>
          </w:p>
        </w:tc>
        <w:tc>
          <w:tcPr>
            <w:tcW w:w="1980"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Quadrados médios</w:t>
            </w:r>
          </w:p>
        </w:tc>
        <w:tc>
          <w:tcPr>
            <w:tcW w:w="1260"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F</w:t>
            </w:r>
          </w:p>
        </w:tc>
        <w:tc>
          <w:tcPr>
            <w:tcW w:w="1080" w:type="dxa"/>
            <w:tcBorders>
              <w:top w:val="single" w:sz="12" w:space="0" w:color="000000"/>
              <w:bottom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roofErr w:type="spellStart"/>
            <w:r w:rsidRPr="00FB2FDB">
              <w:rPr>
                <w:rFonts w:ascii="Century Gothic" w:hAnsi="Century Gothic"/>
                <w:color w:val="000000"/>
                <w:sz w:val="20"/>
                <w:szCs w:val="20"/>
              </w:rPr>
              <w:t>Sig</w:t>
            </w:r>
            <w:proofErr w:type="spellEnd"/>
            <w:r w:rsidRPr="00FB2FDB">
              <w:rPr>
                <w:rFonts w:ascii="Century Gothic" w:hAnsi="Century Gothic"/>
                <w:color w:val="000000"/>
                <w:sz w:val="20"/>
                <w:szCs w:val="20"/>
              </w:rPr>
              <w:t>.</w:t>
            </w:r>
          </w:p>
        </w:tc>
      </w:tr>
      <w:tr w:rsidR="00341349" w:rsidRPr="00FB2FDB" w:rsidTr="00D72820">
        <w:trPr>
          <w:trHeight w:val="273"/>
        </w:trPr>
        <w:tc>
          <w:tcPr>
            <w:tcW w:w="1980" w:type="dxa"/>
            <w:tcBorders>
              <w:top w:val="single" w:sz="8" w:space="0" w:color="000000"/>
            </w:tcBorders>
            <w:shd w:val="clear" w:color="000000" w:fill="FFFFFF"/>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Entre grupos</w:t>
            </w:r>
          </w:p>
        </w:tc>
        <w:tc>
          <w:tcPr>
            <w:tcW w:w="2160" w:type="dxa"/>
            <w:tcBorders>
              <w:top w:val="single" w:sz="8" w:space="0" w:color="000000"/>
            </w:tcBorders>
            <w:shd w:val="clear" w:color="000000" w:fill="FFFFFF"/>
            <w:vAlign w:val="center"/>
          </w:tcPr>
          <w:p w:rsidR="00341349" w:rsidRPr="00FB2FDB" w:rsidRDefault="000B423A" w:rsidP="000B423A">
            <w:pPr>
              <w:autoSpaceDE w:val="0"/>
              <w:autoSpaceDN w:val="0"/>
              <w:adjustRightInd w:val="0"/>
              <w:jc w:val="center"/>
              <w:rPr>
                <w:rFonts w:ascii="Century Gothic" w:hAnsi="Century Gothic"/>
                <w:color w:val="000000"/>
                <w:sz w:val="20"/>
                <w:szCs w:val="20"/>
              </w:rPr>
            </w:pPr>
            <w:r>
              <w:rPr>
                <w:rFonts w:ascii="Century Gothic" w:hAnsi="Century Gothic"/>
                <w:color w:val="000000"/>
                <w:sz w:val="20"/>
                <w:szCs w:val="20"/>
              </w:rPr>
              <w:t>0</w:t>
            </w:r>
            <w:r w:rsidR="00341349" w:rsidRPr="00FB2FDB">
              <w:rPr>
                <w:rFonts w:ascii="Century Gothic" w:hAnsi="Century Gothic"/>
                <w:color w:val="000000"/>
                <w:sz w:val="20"/>
                <w:szCs w:val="20"/>
              </w:rPr>
              <w:t>,031</w:t>
            </w:r>
          </w:p>
        </w:tc>
        <w:tc>
          <w:tcPr>
            <w:tcW w:w="720" w:type="dxa"/>
            <w:tcBorders>
              <w:top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3</w:t>
            </w:r>
          </w:p>
        </w:tc>
        <w:tc>
          <w:tcPr>
            <w:tcW w:w="1980" w:type="dxa"/>
            <w:tcBorders>
              <w:top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,010</w:t>
            </w:r>
          </w:p>
        </w:tc>
        <w:tc>
          <w:tcPr>
            <w:tcW w:w="1260" w:type="dxa"/>
            <w:tcBorders>
              <w:top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1,689</w:t>
            </w:r>
          </w:p>
        </w:tc>
        <w:tc>
          <w:tcPr>
            <w:tcW w:w="1080" w:type="dxa"/>
            <w:tcBorders>
              <w:top w:val="single" w:sz="8" w:space="0" w:color="000000"/>
            </w:tcBorders>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0,173</w:t>
            </w:r>
          </w:p>
        </w:tc>
      </w:tr>
      <w:tr w:rsidR="00341349" w:rsidRPr="00FB2FDB" w:rsidTr="00D72820">
        <w:trPr>
          <w:trHeight w:val="273"/>
        </w:trPr>
        <w:tc>
          <w:tcPr>
            <w:tcW w:w="1980" w:type="dxa"/>
            <w:shd w:val="clear" w:color="000000" w:fill="FFFFFF"/>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Dentro dos grupos</w:t>
            </w:r>
          </w:p>
        </w:tc>
        <w:tc>
          <w:tcPr>
            <w:tcW w:w="216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0,763</w:t>
            </w:r>
          </w:p>
        </w:tc>
        <w:tc>
          <w:tcPr>
            <w:tcW w:w="72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24</w:t>
            </w:r>
          </w:p>
        </w:tc>
        <w:tc>
          <w:tcPr>
            <w:tcW w:w="198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,006</w:t>
            </w:r>
          </w:p>
        </w:tc>
        <w:tc>
          <w:tcPr>
            <w:tcW w:w="1260" w:type="dxa"/>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p>
        </w:tc>
        <w:tc>
          <w:tcPr>
            <w:tcW w:w="1080" w:type="dxa"/>
            <w:shd w:val="clear" w:color="000000" w:fill="FFFFFF"/>
            <w:vAlign w:val="center"/>
          </w:tcPr>
          <w:p w:rsidR="00341349" w:rsidRPr="00FB2FDB" w:rsidRDefault="00341349" w:rsidP="000B423A">
            <w:pPr>
              <w:autoSpaceDE w:val="0"/>
              <w:autoSpaceDN w:val="0"/>
              <w:adjustRightInd w:val="0"/>
              <w:ind w:firstLine="709"/>
              <w:jc w:val="center"/>
              <w:rPr>
                <w:rFonts w:ascii="Century Gothic" w:hAnsi="Century Gothic"/>
                <w:color w:val="000000"/>
                <w:sz w:val="20"/>
                <w:szCs w:val="20"/>
              </w:rPr>
            </w:pPr>
          </w:p>
        </w:tc>
      </w:tr>
      <w:tr w:rsidR="00341349" w:rsidRPr="00FB2FDB" w:rsidTr="00D72820">
        <w:trPr>
          <w:trHeight w:val="273"/>
        </w:trPr>
        <w:tc>
          <w:tcPr>
            <w:tcW w:w="1980" w:type="dxa"/>
            <w:shd w:val="clear" w:color="000000" w:fill="FFFFFF"/>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Total</w:t>
            </w:r>
          </w:p>
        </w:tc>
        <w:tc>
          <w:tcPr>
            <w:tcW w:w="216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0,794</w:t>
            </w:r>
          </w:p>
        </w:tc>
        <w:tc>
          <w:tcPr>
            <w:tcW w:w="72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r w:rsidRPr="00FB2FDB">
              <w:rPr>
                <w:rFonts w:ascii="Century Gothic" w:hAnsi="Century Gothic"/>
                <w:color w:val="000000"/>
                <w:sz w:val="20"/>
                <w:szCs w:val="20"/>
              </w:rPr>
              <w:t>27</w:t>
            </w:r>
          </w:p>
        </w:tc>
        <w:tc>
          <w:tcPr>
            <w:tcW w:w="198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
        </w:tc>
        <w:tc>
          <w:tcPr>
            <w:tcW w:w="126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
        </w:tc>
        <w:tc>
          <w:tcPr>
            <w:tcW w:w="1080" w:type="dxa"/>
            <w:shd w:val="clear" w:color="000000" w:fill="FFFFFF"/>
            <w:vAlign w:val="center"/>
          </w:tcPr>
          <w:p w:rsidR="00341349" w:rsidRPr="00FB2FDB" w:rsidRDefault="00341349" w:rsidP="000B423A">
            <w:pPr>
              <w:autoSpaceDE w:val="0"/>
              <w:autoSpaceDN w:val="0"/>
              <w:adjustRightInd w:val="0"/>
              <w:jc w:val="center"/>
              <w:rPr>
                <w:rFonts w:ascii="Century Gothic" w:hAnsi="Century Gothic"/>
                <w:color w:val="000000"/>
                <w:sz w:val="20"/>
                <w:szCs w:val="20"/>
              </w:rPr>
            </w:pPr>
          </w:p>
        </w:tc>
      </w:tr>
    </w:tbl>
    <w:p w:rsidR="000B423A" w:rsidRPr="000B423A" w:rsidRDefault="000B423A" w:rsidP="000B423A">
      <w:pPr>
        <w:ind w:firstLine="709"/>
        <w:jc w:val="both"/>
        <w:rPr>
          <w:rFonts w:ascii="Century Gothic" w:hAnsi="Century Gothic"/>
          <w:sz w:val="20"/>
          <w:szCs w:val="20"/>
        </w:rPr>
      </w:pPr>
      <w:r w:rsidRPr="000B423A">
        <w:rPr>
          <w:rFonts w:ascii="Century Gothic" w:hAnsi="Century Gothic"/>
          <w:sz w:val="20"/>
          <w:szCs w:val="20"/>
        </w:rPr>
        <w:t>Fonte: Elaborada pelos autores.</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 xml:space="preserve">Recorrendo-se aos testes </w:t>
      </w:r>
      <w:r w:rsidRPr="00FB2FDB">
        <w:rPr>
          <w:rFonts w:ascii="Century Gothic" w:hAnsi="Century Gothic"/>
          <w:i/>
        </w:rPr>
        <w:t>post hoc</w:t>
      </w:r>
      <w:r w:rsidRPr="00FB2FDB">
        <w:rPr>
          <w:rFonts w:ascii="Century Gothic" w:hAnsi="Century Gothic"/>
        </w:rPr>
        <w:t xml:space="preserve"> HSD, </w:t>
      </w:r>
      <w:proofErr w:type="spellStart"/>
      <w:r w:rsidRPr="00FB2FDB">
        <w:rPr>
          <w:rFonts w:ascii="Century Gothic" w:hAnsi="Century Gothic"/>
        </w:rPr>
        <w:t>Scheffe</w:t>
      </w:r>
      <w:proofErr w:type="spellEnd"/>
      <w:r w:rsidRPr="00FB2FDB">
        <w:rPr>
          <w:rFonts w:ascii="Century Gothic" w:hAnsi="Century Gothic"/>
        </w:rPr>
        <w:t xml:space="preserve"> e LSD, o último indica diferenças apenas entre o 3º e 4º trimestres, somente para o grupo 2.  </w:t>
      </w:r>
    </w:p>
    <w:p w:rsidR="00341349" w:rsidRPr="00FB2FDB" w:rsidRDefault="00341349" w:rsidP="00FB2FDB">
      <w:pPr>
        <w:autoSpaceDE w:val="0"/>
        <w:autoSpaceDN w:val="0"/>
        <w:adjustRightInd w:val="0"/>
        <w:ind w:firstLine="709"/>
        <w:jc w:val="both"/>
        <w:rPr>
          <w:rFonts w:ascii="Century Gothic" w:hAnsi="Century Gothic"/>
        </w:rPr>
      </w:pPr>
      <w:r w:rsidRPr="00FB2FDB">
        <w:rPr>
          <w:rFonts w:ascii="Century Gothic" w:hAnsi="Century Gothic"/>
        </w:rPr>
        <w:t xml:space="preserve">Segundo Slack, </w:t>
      </w:r>
      <w:proofErr w:type="spellStart"/>
      <w:r w:rsidRPr="00FB2FDB">
        <w:rPr>
          <w:rFonts w:ascii="Century Gothic" w:hAnsi="Century Gothic"/>
        </w:rPr>
        <w:t>Chambers</w:t>
      </w:r>
      <w:proofErr w:type="spellEnd"/>
      <w:r w:rsidRPr="00FB2FDB">
        <w:rPr>
          <w:rFonts w:ascii="Century Gothic" w:hAnsi="Century Gothic"/>
        </w:rPr>
        <w:t xml:space="preserve"> e </w:t>
      </w:r>
      <w:proofErr w:type="spellStart"/>
      <w:r w:rsidRPr="00FB2FDB">
        <w:rPr>
          <w:rFonts w:ascii="Century Gothic" w:hAnsi="Century Gothic"/>
        </w:rPr>
        <w:t>Jonhston</w:t>
      </w:r>
      <w:proofErr w:type="spellEnd"/>
      <w:r w:rsidRPr="00FB2FDB">
        <w:rPr>
          <w:rFonts w:ascii="Century Gothic" w:hAnsi="Century Gothic"/>
        </w:rPr>
        <w:t xml:space="preserve"> (2002), Slack et al (2008), </w:t>
      </w:r>
      <w:proofErr w:type="spellStart"/>
      <w:r w:rsidRPr="00FB2FDB">
        <w:rPr>
          <w:rFonts w:ascii="Century Gothic" w:hAnsi="Century Gothic"/>
        </w:rPr>
        <w:t>Tubino</w:t>
      </w:r>
      <w:proofErr w:type="spellEnd"/>
      <w:r w:rsidRPr="00FB2FDB">
        <w:rPr>
          <w:rFonts w:ascii="Century Gothic" w:hAnsi="Century Gothic"/>
        </w:rPr>
        <w:t xml:space="preserve"> (2007),</w:t>
      </w:r>
      <w:r w:rsidRPr="00FB2FDB">
        <w:rPr>
          <w:rFonts w:ascii="Century Gothic" w:hAnsi="Century Gothic" w:cs="Times-Roman"/>
        </w:rPr>
        <w:t xml:space="preserve"> </w:t>
      </w:r>
      <w:proofErr w:type="spellStart"/>
      <w:r w:rsidRPr="00FB2FDB">
        <w:rPr>
          <w:rFonts w:ascii="Century Gothic" w:hAnsi="Century Gothic" w:cs="Times-Roman"/>
        </w:rPr>
        <w:t>Ballou</w:t>
      </w:r>
      <w:proofErr w:type="spellEnd"/>
      <w:r w:rsidRPr="00FB2FDB">
        <w:rPr>
          <w:rFonts w:ascii="Century Gothic" w:hAnsi="Century Gothic" w:cs="Times-Roman"/>
        </w:rPr>
        <w:t xml:space="preserve"> (2001), </w:t>
      </w:r>
      <w:proofErr w:type="spellStart"/>
      <w:r w:rsidRPr="00FB2FDB">
        <w:rPr>
          <w:rFonts w:ascii="Century Gothic" w:hAnsi="Century Gothic" w:cs="Times-Roman"/>
        </w:rPr>
        <w:t>Bowersox</w:t>
      </w:r>
      <w:proofErr w:type="spellEnd"/>
      <w:r w:rsidR="0076021E">
        <w:rPr>
          <w:rFonts w:ascii="Century Gothic" w:hAnsi="Century Gothic" w:cs="Times-Roman"/>
        </w:rPr>
        <w:t xml:space="preserve"> e </w:t>
      </w:r>
      <w:proofErr w:type="spellStart"/>
      <w:r w:rsidR="0076021E">
        <w:rPr>
          <w:rFonts w:ascii="Century Gothic" w:hAnsi="Century Gothic" w:cs="Times-Roman"/>
        </w:rPr>
        <w:t>Closs</w:t>
      </w:r>
      <w:proofErr w:type="spellEnd"/>
      <w:r w:rsidRPr="00FB2FDB">
        <w:rPr>
          <w:rFonts w:ascii="Century Gothic" w:hAnsi="Century Gothic" w:cs="Times-Roman"/>
        </w:rPr>
        <w:t xml:space="preserve"> (20</w:t>
      </w:r>
      <w:r w:rsidR="0076021E">
        <w:rPr>
          <w:rFonts w:ascii="Century Gothic" w:hAnsi="Century Gothic" w:cs="Times-Roman"/>
        </w:rPr>
        <w:t>10</w:t>
      </w:r>
      <w:r w:rsidRPr="00FB2FDB">
        <w:rPr>
          <w:rFonts w:ascii="Century Gothic" w:hAnsi="Century Gothic"/>
        </w:rPr>
        <w:t>) e Corrêa e Corrêa (2005), os estoques representam a independência entre fases distintas do processo de produção. Dada a natureza sazonal da atividade, era de se esperar variações entre os trimestres, mas os resultados encontrados não permitiram identificar tais variações.</w:t>
      </w:r>
    </w:p>
    <w:p w:rsidR="00675441" w:rsidRPr="00FB2FDB" w:rsidRDefault="00341349" w:rsidP="00FB2FDB">
      <w:pPr>
        <w:autoSpaceDE w:val="0"/>
        <w:autoSpaceDN w:val="0"/>
        <w:adjustRightInd w:val="0"/>
        <w:ind w:firstLine="709"/>
        <w:jc w:val="both"/>
        <w:rPr>
          <w:rFonts w:ascii="Century Gothic" w:hAnsi="Century Gothic"/>
        </w:rPr>
      </w:pPr>
      <w:r w:rsidRPr="00FB2FDB">
        <w:rPr>
          <w:rFonts w:ascii="Century Gothic" w:hAnsi="Century Gothic"/>
        </w:rPr>
        <w:t>Talvez explique essa</w:t>
      </w:r>
      <w:r w:rsidR="00D21749" w:rsidRPr="00FB2FDB">
        <w:rPr>
          <w:rFonts w:ascii="Century Gothic" w:hAnsi="Century Gothic"/>
        </w:rPr>
        <w:t xml:space="preserve"> constatação,</w:t>
      </w:r>
      <w:r w:rsidRPr="00FB2FDB">
        <w:rPr>
          <w:rFonts w:ascii="Century Gothic" w:hAnsi="Century Gothic"/>
        </w:rPr>
        <w:t xml:space="preserve"> o fato de a amostra conter empresas de diversos segmentos, os quais possuem ritmos próprios de atividade. Portanto, para que se identifiquem variações de estoques entre períodos, a comparação deva ser feita entre segmentos com padrões idênticos de atividade.</w:t>
      </w:r>
    </w:p>
    <w:p w:rsidR="00387EE1" w:rsidRPr="00FB2FDB" w:rsidRDefault="00675441" w:rsidP="00FB2FDB">
      <w:pPr>
        <w:autoSpaceDE w:val="0"/>
        <w:autoSpaceDN w:val="0"/>
        <w:adjustRightInd w:val="0"/>
        <w:ind w:firstLine="709"/>
        <w:jc w:val="both"/>
        <w:rPr>
          <w:rFonts w:ascii="Century Gothic" w:hAnsi="Century Gothic"/>
        </w:rPr>
      </w:pPr>
      <w:r w:rsidRPr="00FB2FDB">
        <w:rPr>
          <w:rFonts w:ascii="Century Gothic" w:hAnsi="Century Gothic"/>
        </w:rPr>
        <w:t xml:space="preserve">Também Cecchetti, </w:t>
      </w:r>
      <w:proofErr w:type="spellStart"/>
      <w:r w:rsidRPr="00FB2FDB">
        <w:rPr>
          <w:rFonts w:ascii="Century Gothic" w:hAnsi="Century Gothic"/>
        </w:rPr>
        <w:t>Kashyap</w:t>
      </w:r>
      <w:proofErr w:type="spellEnd"/>
      <w:r w:rsidRPr="00FB2FDB">
        <w:rPr>
          <w:rFonts w:ascii="Century Gothic" w:hAnsi="Century Gothic"/>
        </w:rPr>
        <w:t xml:space="preserve"> e </w:t>
      </w:r>
      <w:proofErr w:type="spellStart"/>
      <w:r w:rsidRPr="00FB2FDB">
        <w:rPr>
          <w:rFonts w:ascii="Century Gothic" w:hAnsi="Century Gothic"/>
        </w:rPr>
        <w:t>Wilcox</w:t>
      </w:r>
      <w:proofErr w:type="spellEnd"/>
      <w:r w:rsidRPr="00FB2FDB">
        <w:rPr>
          <w:rFonts w:ascii="Century Gothic" w:hAnsi="Century Gothic"/>
        </w:rPr>
        <w:t xml:space="preserve"> (1997) sugerem que as empresas utilizam períodos de baixa atividade para produzir e estocar visando ao atendimento de picos de venda, o que pode explicar tal resultado.</w:t>
      </w:r>
    </w:p>
    <w:p w:rsidR="00341349" w:rsidRPr="00FB2FDB" w:rsidRDefault="00387EE1" w:rsidP="00FB2FDB">
      <w:pPr>
        <w:autoSpaceDE w:val="0"/>
        <w:autoSpaceDN w:val="0"/>
        <w:adjustRightInd w:val="0"/>
        <w:ind w:firstLine="709"/>
        <w:jc w:val="both"/>
        <w:rPr>
          <w:rFonts w:ascii="Century Gothic" w:hAnsi="Century Gothic"/>
        </w:rPr>
      </w:pPr>
      <w:r w:rsidRPr="00FB2FDB">
        <w:rPr>
          <w:rFonts w:ascii="Century Gothic" w:hAnsi="Century Gothic"/>
        </w:rPr>
        <w:t xml:space="preserve">Por outro lado, a sugestão de Bradley e </w:t>
      </w:r>
      <w:proofErr w:type="spellStart"/>
      <w:r w:rsidRPr="00FB2FDB">
        <w:rPr>
          <w:rFonts w:ascii="Century Gothic" w:hAnsi="Century Gothic"/>
        </w:rPr>
        <w:t>Arntzen</w:t>
      </w:r>
      <w:proofErr w:type="spellEnd"/>
      <w:r w:rsidRPr="00FB2FDB">
        <w:rPr>
          <w:rFonts w:ascii="Century Gothic" w:hAnsi="Century Gothic"/>
        </w:rPr>
        <w:t xml:space="preserve"> (1999), segundo a qual pode ser mais vantajoso investir em capacidade produtiva para atender picos de demanda do que </w:t>
      </w:r>
      <w:r w:rsidR="000D38BE" w:rsidRPr="00FB2FDB">
        <w:rPr>
          <w:rFonts w:ascii="Century Gothic" w:hAnsi="Century Gothic"/>
        </w:rPr>
        <w:t>manter níveis elevados de estoque durante todo o período não encontra respaldo nos resultados ora apresentados.</w:t>
      </w:r>
    </w:p>
    <w:p w:rsidR="000D38BE" w:rsidRPr="00FB2FDB" w:rsidRDefault="000D38BE" w:rsidP="00FB2FDB">
      <w:pPr>
        <w:autoSpaceDE w:val="0"/>
        <w:autoSpaceDN w:val="0"/>
        <w:adjustRightInd w:val="0"/>
        <w:ind w:firstLine="709"/>
        <w:jc w:val="both"/>
        <w:rPr>
          <w:rFonts w:ascii="Century Gothic" w:hAnsi="Century Gothic"/>
        </w:rPr>
      </w:pPr>
    </w:p>
    <w:p w:rsidR="00341349" w:rsidRPr="00FB2FDB" w:rsidRDefault="00341349" w:rsidP="00FB2FDB">
      <w:pPr>
        <w:jc w:val="both"/>
        <w:rPr>
          <w:rFonts w:ascii="Century Gothic" w:hAnsi="Century Gothic"/>
          <w:b/>
        </w:rPr>
      </w:pPr>
      <w:r w:rsidRPr="00FB2FDB">
        <w:rPr>
          <w:rFonts w:ascii="Century Gothic" w:hAnsi="Century Gothic"/>
          <w:b/>
        </w:rPr>
        <w:t>4.4 Influência dos Estoques sobre o Lucro</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 xml:space="preserve">Para avaliar se as diferenças nos estoques causam impactos distintos sobre o resultado das empresas, foram estimadas duas funções de regressão linear simples, relacionando o índice de </w:t>
      </w:r>
      <w:r w:rsidR="0078149D" w:rsidRPr="00FB2FDB">
        <w:rPr>
          <w:rFonts w:ascii="Century Gothic" w:hAnsi="Century Gothic"/>
        </w:rPr>
        <w:t>estoque ao índice lucro líquido/</w:t>
      </w:r>
      <w:r w:rsidRPr="00FB2FDB">
        <w:rPr>
          <w:rFonts w:ascii="Century Gothic" w:hAnsi="Century Gothic"/>
        </w:rPr>
        <w:t xml:space="preserve">ativo total (ROA). Após isso, os resultados foram comparados pelo Teste de </w:t>
      </w:r>
      <w:proofErr w:type="spellStart"/>
      <w:r w:rsidRPr="00FB2FDB">
        <w:rPr>
          <w:rFonts w:ascii="Century Gothic" w:hAnsi="Century Gothic"/>
        </w:rPr>
        <w:t>Chow</w:t>
      </w:r>
      <w:proofErr w:type="spellEnd"/>
      <w:r w:rsidRPr="00FB2FDB">
        <w:rPr>
          <w:rFonts w:ascii="Century Gothic" w:hAnsi="Century Gothic"/>
        </w:rPr>
        <w:t xml:space="preserve">, conforme metodologia sugerida por </w:t>
      </w:r>
      <w:proofErr w:type="spellStart"/>
      <w:r w:rsidRPr="00FB2FDB">
        <w:rPr>
          <w:rFonts w:ascii="Century Gothic" w:hAnsi="Century Gothic"/>
        </w:rPr>
        <w:t>Gujarati</w:t>
      </w:r>
      <w:proofErr w:type="spellEnd"/>
      <w:r w:rsidRPr="00FB2FDB">
        <w:rPr>
          <w:rFonts w:ascii="Century Gothic" w:hAnsi="Century Gothic"/>
        </w:rPr>
        <w:t xml:space="preserve"> (2000). Os dados dos modelos de regressão podem ser vistos na Tabela 6.</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 </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Tabela 6. Modelos de Regressão: </w:t>
      </w:r>
      <w:r w:rsidR="005F40AB" w:rsidRPr="00FB2FDB">
        <w:rPr>
          <w:rFonts w:ascii="Century Gothic" w:hAnsi="Century Gothic"/>
        </w:rPr>
        <w:t>ROA</w:t>
      </w:r>
      <w:r w:rsidRPr="00FB2FDB">
        <w:rPr>
          <w:rFonts w:ascii="Century Gothic" w:hAnsi="Century Gothic"/>
        </w:rPr>
        <w:t xml:space="preserve"> X Índice de Estoque.</w:t>
      </w:r>
    </w:p>
    <w:tbl>
      <w:tblPr>
        <w:tblW w:w="0" w:type="auto"/>
        <w:tblBorders>
          <w:top w:val="single" w:sz="12" w:space="0" w:color="auto"/>
          <w:bottom w:val="single" w:sz="12" w:space="0" w:color="auto"/>
        </w:tblBorders>
        <w:tblLook w:val="01E0" w:firstRow="1" w:lastRow="1" w:firstColumn="1" w:lastColumn="1" w:noHBand="0" w:noVBand="0"/>
      </w:tblPr>
      <w:tblGrid>
        <w:gridCol w:w="1520"/>
        <w:gridCol w:w="1525"/>
        <w:gridCol w:w="1493"/>
        <w:gridCol w:w="1519"/>
        <w:gridCol w:w="1525"/>
        <w:gridCol w:w="1490"/>
      </w:tblGrid>
      <w:tr w:rsidR="00341349" w:rsidRPr="00FB2FDB" w:rsidTr="00D72820">
        <w:tc>
          <w:tcPr>
            <w:tcW w:w="4605" w:type="dxa"/>
            <w:gridSpan w:val="3"/>
            <w:tcBorders>
              <w:top w:val="single" w:sz="12" w:space="0" w:color="auto"/>
              <w:bottom w:val="single" w:sz="8"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Grupo 1</w:t>
            </w:r>
          </w:p>
        </w:tc>
        <w:tc>
          <w:tcPr>
            <w:tcW w:w="4606" w:type="dxa"/>
            <w:gridSpan w:val="3"/>
            <w:tcBorders>
              <w:top w:val="single" w:sz="12" w:space="0" w:color="auto"/>
              <w:bottom w:val="single" w:sz="8"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Grupo 2</w:t>
            </w:r>
          </w:p>
        </w:tc>
      </w:tr>
      <w:tr w:rsidR="00341349" w:rsidRPr="00FB2FDB" w:rsidTr="00D72820">
        <w:tc>
          <w:tcPr>
            <w:tcW w:w="1535" w:type="dxa"/>
            <w:tcBorders>
              <w:top w:val="single" w:sz="8"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Parâmetro</w:t>
            </w:r>
          </w:p>
        </w:tc>
        <w:tc>
          <w:tcPr>
            <w:tcW w:w="1535" w:type="dxa"/>
            <w:tcBorders>
              <w:top w:val="single" w:sz="8"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Coeficiente</w:t>
            </w:r>
          </w:p>
        </w:tc>
        <w:tc>
          <w:tcPr>
            <w:tcW w:w="1535" w:type="dxa"/>
            <w:tcBorders>
              <w:top w:val="single" w:sz="8"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Teste “t”</w:t>
            </w:r>
          </w:p>
        </w:tc>
        <w:tc>
          <w:tcPr>
            <w:tcW w:w="1535" w:type="dxa"/>
            <w:tcBorders>
              <w:top w:val="single" w:sz="8"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Parâmetro</w:t>
            </w:r>
          </w:p>
        </w:tc>
        <w:tc>
          <w:tcPr>
            <w:tcW w:w="1535" w:type="dxa"/>
            <w:tcBorders>
              <w:top w:val="single" w:sz="8"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Coeficiente</w:t>
            </w:r>
          </w:p>
        </w:tc>
        <w:tc>
          <w:tcPr>
            <w:tcW w:w="1536" w:type="dxa"/>
            <w:tcBorders>
              <w:top w:val="single" w:sz="8" w:space="0" w:color="auto"/>
            </w:tcBorders>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Teste “t”</w:t>
            </w:r>
          </w:p>
        </w:tc>
      </w:tr>
      <w:tr w:rsidR="00341349" w:rsidRPr="00FB2FDB" w:rsidTr="00D72820">
        <w:tc>
          <w:tcPr>
            <w:tcW w:w="1535" w:type="dxa"/>
          </w:tcPr>
          <w:p w:rsidR="00341349" w:rsidRPr="00FB2FDB" w:rsidRDefault="00341349" w:rsidP="000B423A">
            <w:pPr>
              <w:jc w:val="center"/>
              <w:rPr>
                <w:rFonts w:ascii="Century Gothic" w:hAnsi="Century Gothic"/>
                <w:sz w:val="20"/>
                <w:szCs w:val="20"/>
              </w:rPr>
            </w:pPr>
            <w:proofErr w:type="gramStart"/>
            <w:r w:rsidRPr="00FB2FDB">
              <w:rPr>
                <w:rFonts w:ascii="Century Gothic" w:hAnsi="Century Gothic"/>
                <w:sz w:val="20"/>
                <w:szCs w:val="20"/>
              </w:rPr>
              <w:t>α</w:t>
            </w:r>
            <w:proofErr w:type="gramEnd"/>
          </w:p>
        </w:tc>
        <w:tc>
          <w:tcPr>
            <w:tcW w:w="1535" w:type="dxa"/>
          </w:tcPr>
          <w:p w:rsidR="00341349" w:rsidRPr="00FB2FDB" w:rsidRDefault="005F40AB" w:rsidP="000B423A">
            <w:pPr>
              <w:jc w:val="center"/>
              <w:rPr>
                <w:rFonts w:ascii="Century Gothic" w:hAnsi="Century Gothic"/>
                <w:sz w:val="20"/>
                <w:szCs w:val="20"/>
              </w:rPr>
            </w:pPr>
            <w:r w:rsidRPr="00FB2FDB">
              <w:rPr>
                <w:rFonts w:ascii="Century Gothic" w:hAnsi="Century Gothic"/>
                <w:sz w:val="20"/>
                <w:szCs w:val="20"/>
              </w:rPr>
              <w:t>0,026</w:t>
            </w:r>
          </w:p>
        </w:tc>
        <w:tc>
          <w:tcPr>
            <w:tcW w:w="1535"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3,63</w:t>
            </w:r>
            <w:r w:rsidRPr="00FB2FDB">
              <w:rPr>
                <w:rFonts w:ascii="Century Gothic" w:hAnsi="Century Gothic"/>
                <w:sz w:val="20"/>
                <w:szCs w:val="20"/>
                <w:vertAlign w:val="superscript"/>
              </w:rPr>
              <w:t>***</w:t>
            </w:r>
          </w:p>
        </w:tc>
        <w:tc>
          <w:tcPr>
            <w:tcW w:w="1535" w:type="dxa"/>
          </w:tcPr>
          <w:p w:rsidR="00341349" w:rsidRPr="00FB2FDB" w:rsidRDefault="00341349" w:rsidP="000B423A">
            <w:pPr>
              <w:jc w:val="center"/>
              <w:rPr>
                <w:rFonts w:ascii="Century Gothic" w:hAnsi="Century Gothic"/>
                <w:sz w:val="20"/>
                <w:szCs w:val="20"/>
              </w:rPr>
            </w:pPr>
            <w:proofErr w:type="gramStart"/>
            <w:r w:rsidRPr="00FB2FDB">
              <w:rPr>
                <w:rFonts w:ascii="Century Gothic" w:hAnsi="Century Gothic"/>
                <w:sz w:val="20"/>
                <w:szCs w:val="20"/>
              </w:rPr>
              <w:t>α</w:t>
            </w:r>
            <w:proofErr w:type="gramEnd"/>
          </w:p>
        </w:tc>
        <w:tc>
          <w:tcPr>
            <w:tcW w:w="1535" w:type="dxa"/>
          </w:tcPr>
          <w:p w:rsidR="00341349" w:rsidRPr="00FB2FDB" w:rsidRDefault="005F40AB" w:rsidP="000B423A">
            <w:pPr>
              <w:jc w:val="center"/>
              <w:rPr>
                <w:rFonts w:ascii="Century Gothic" w:hAnsi="Century Gothic"/>
                <w:sz w:val="20"/>
                <w:szCs w:val="20"/>
              </w:rPr>
            </w:pPr>
            <w:r w:rsidRPr="00FB2FDB">
              <w:rPr>
                <w:rFonts w:ascii="Century Gothic" w:hAnsi="Century Gothic"/>
                <w:sz w:val="20"/>
                <w:szCs w:val="20"/>
              </w:rPr>
              <w:t>0,0126</w:t>
            </w:r>
          </w:p>
        </w:tc>
        <w:tc>
          <w:tcPr>
            <w:tcW w:w="1536"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1,15</w:t>
            </w:r>
            <w:r w:rsidRPr="00FB2FDB">
              <w:rPr>
                <w:rFonts w:ascii="Century Gothic" w:hAnsi="Century Gothic"/>
                <w:sz w:val="20"/>
                <w:szCs w:val="20"/>
                <w:vertAlign w:val="superscript"/>
              </w:rPr>
              <w:t xml:space="preserve"> </w:t>
            </w:r>
            <w:proofErr w:type="spellStart"/>
            <w:r w:rsidRPr="00FB2FDB">
              <w:rPr>
                <w:rFonts w:ascii="Century Gothic" w:hAnsi="Century Gothic"/>
                <w:sz w:val="20"/>
                <w:szCs w:val="20"/>
                <w:vertAlign w:val="superscript"/>
              </w:rPr>
              <w:t>ns</w:t>
            </w:r>
            <w:proofErr w:type="spellEnd"/>
          </w:p>
        </w:tc>
      </w:tr>
      <w:tr w:rsidR="00341349" w:rsidRPr="00FB2FDB" w:rsidTr="00D72820">
        <w:tc>
          <w:tcPr>
            <w:tcW w:w="1535"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sym w:font="Symbol" w:char="F062"/>
            </w:r>
          </w:p>
        </w:tc>
        <w:tc>
          <w:tcPr>
            <w:tcW w:w="1535" w:type="dxa"/>
          </w:tcPr>
          <w:p w:rsidR="00341349" w:rsidRPr="00FB2FDB" w:rsidRDefault="005F40AB" w:rsidP="000B423A">
            <w:pPr>
              <w:jc w:val="center"/>
              <w:rPr>
                <w:rFonts w:ascii="Century Gothic" w:hAnsi="Century Gothic"/>
                <w:sz w:val="20"/>
                <w:szCs w:val="20"/>
              </w:rPr>
            </w:pPr>
            <w:r w:rsidRPr="00FB2FDB">
              <w:rPr>
                <w:rFonts w:ascii="Century Gothic" w:hAnsi="Century Gothic"/>
                <w:sz w:val="20"/>
                <w:szCs w:val="20"/>
              </w:rPr>
              <w:t>0,0068</w:t>
            </w:r>
          </w:p>
        </w:tc>
        <w:tc>
          <w:tcPr>
            <w:tcW w:w="1535"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0,32</w:t>
            </w:r>
            <w:r w:rsidRPr="00FB2FDB">
              <w:rPr>
                <w:rFonts w:ascii="Century Gothic" w:hAnsi="Century Gothic"/>
                <w:sz w:val="20"/>
                <w:szCs w:val="20"/>
                <w:vertAlign w:val="superscript"/>
              </w:rPr>
              <w:t>ns</w:t>
            </w:r>
          </w:p>
        </w:tc>
        <w:tc>
          <w:tcPr>
            <w:tcW w:w="1535"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sym w:font="Symbol" w:char="F062"/>
            </w:r>
          </w:p>
        </w:tc>
        <w:tc>
          <w:tcPr>
            <w:tcW w:w="1535"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w:t>
            </w:r>
            <w:r w:rsidR="005F40AB" w:rsidRPr="00FB2FDB">
              <w:rPr>
                <w:rFonts w:ascii="Century Gothic" w:hAnsi="Century Gothic"/>
                <w:sz w:val="20"/>
                <w:szCs w:val="20"/>
              </w:rPr>
              <w:t>0,00</w:t>
            </w:r>
            <w:r w:rsidRPr="00FB2FDB">
              <w:rPr>
                <w:rFonts w:ascii="Century Gothic" w:hAnsi="Century Gothic"/>
                <w:sz w:val="20"/>
                <w:szCs w:val="20"/>
              </w:rPr>
              <w:t>8</w:t>
            </w:r>
            <w:r w:rsidR="005F40AB" w:rsidRPr="00FB2FDB">
              <w:rPr>
                <w:rFonts w:ascii="Century Gothic" w:hAnsi="Century Gothic"/>
                <w:sz w:val="20"/>
                <w:szCs w:val="20"/>
              </w:rPr>
              <w:t>9</w:t>
            </w:r>
          </w:p>
        </w:tc>
        <w:tc>
          <w:tcPr>
            <w:tcW w:w="1536"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-0,29</w:t>
            </w:r>
            <w:r w:rsidRPr="00FB2FDB">
              <w:rPr>
                <w:rFonts w:ascii="Century Gothic" w:hAnsi="Century Gothic"/>
                <w:sz w:val="20"/>
                <w:szCs w:val="20"/>
                <w:vertAlign w:val="superscript"/>
              </w:rPr>
              <w:t xml:space="preserve"> </w:t>
            </w:r>
            <w:proofErr w:type="spellStart"/>
            <w:r w:rsidRPr="00FB2FDB">
              <w:rPr>
                <w:rFonts w:ascii="Century Gothic" w:hAnsi="Century Gothic"/>
                <w:sz w:val="20"/>
                <w:szCs w:val="20"/>
                <w:vertAlign w:val="superscript"/>
              </w:rPr>
              <w:t>ns</w:t>
            </w:r>
            <w:proofErr w:type="spellEnd"/>
          </w:p>
        </w:tc>
      </w:tr>
      <w:tr w:rsidR="00341349" w:rsidRPr="00FB2FDB" w:rsidTr="00D72820">
        <w:tc>
          <w:tcPr>
            <w:tcW w:w="1535"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R</w:t>
            </w:r>
            <w:r w:rsidRPr="00FB2FDB">
              <w:rPr>
                <w:rFonts w:ascii="Century Gothic" w:hAnsi="Century Gothic"/>
                <w:sz w:val="20"/>
                <w:szCs w:val="20"/>
                <w:vertAlign w:val="superscript"/>
              </w:rPr>
              <w:t>2</w:t>
            </w:r>
          </w:p>
        </w:tc>
        <w:tc>
          <w:tcPr>
            <w:tcW w:w="1535"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-0,</w:t>
            </w:r>
            <w:r w:rsidR="005F40AB" w:rsidRPr="00FB2FDB">
              <w:rPr>
                <w:rFonts w:ascii="Century Gothic" w:hAnsi="Century Gothic"/>
                <w:sz w:val="20"/>
                <w:szCs w:val="20"/>
              </w:rPr>
              <w:t>0</w:t>
            </w:r>
            <w:r w:rsidRPr="00FB2FDB">
              <w:rPr>
                <w:rFonts w:ascii="Century Gothic" w:hAnsi="Century Gothic"/>
                <w:sz w:val="20"/>
                <w:szCs w:val="20"/>
              </w:rPr>
              <w:t>0</w:t>
            </w:r>
            <w:r w:rsidR="005F40AB" w:rsidRPr="00FB2FDB">
              <w:rPr>
                <w:rFonts w:ascii="Century Gothic" w:hAnsi="Century Gothic"/>
                <w:sz w:val="20"/>
                <w:szCs w:val="20"/>
              </w:rPr>
              <w:t>7</w:t>
            </w:r>
          </w:p>
        </w:tc>
        <w:tc>
          <w:tcPr>
            <w:tcW w:w="1535" w:type="dxa"/>
          </w:tcPr>
          <w:p w:rsidR="00341349" w:rsidRPr="00FB2FDB" w:rsidRDefault="00341349" w:rsidP="000B423A">
            <w:pPr>
              <w:ind w:firstLine="709"/>
              <w:jc w:val="center"/>
              <w:rPr>
                <w:rFonts w:ascii="Century Gothic" w:hAnsi="Century Gothic"/>
                <w:sz w:val="20"/>
                <w:szCs w:val="20"/>
              </w:rPr>
            </w:pPr>
          </w:p>
        </w:tc>
        <w:tc>
          <w:tcPr>
            <w:tcW w:w="1535"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R</w:t>
            </w:r>
            <w:r w:rsidRPr="00FB2FDB">
              <w:rPr>
                <w:rFonts w:ascii="Century Gothic" w:hAnsi="Century Gothic"/>
                <w:sz w:val="20"/>
                <w:szCs w:val="20"/>
                <w:vertAlign w:val="superscript"/>
              </w:rPr>
              <w:t>2</w:t>
            </w:r>
          </w:p>
        </w:tc>
        <w:tc>
          <w:tcPr>
            <w:tcW w:w="1535" w:type="dxa"/>
          </w:tcPr>
          <w:p w:rsidR="00341349" w:rsidRPr="00FB2FDB" w:rsidRDefault="00341349" w:rsidP="000B423A">
            <w:pPr>
              <w:jc w:val="center"/>
              <w:rPr>
                <w:rFonts w:ascii="Century Gothic" w:hAnsi="Century Gothic"/>
                <w:sz w:val="20"/>
                <w:szCs w:val="20"/>
              </w:rPr>
            </w:pPr>
            <w:r w:rsidRPr="00FB2FDB">
              <w:rPr>
                <w:rFonts w:ascii="Century Gothic" w:hAnsi="Century Gothic"/>
                <w:sz w:val="20"/>
                <w:szCs w:val="20"/>
              </w:rPr>
              <w:t>-0,0</w:t>
            </w:r>
            <w:r w:rsidR="005F40AB" w:rsidRPr="00FB2FDB">
              <w:rPr>
                <w:rFonts w:ascii="Century Gothic" w:hAnsi="Century Gothic"/>
                <w:sz w:val="20"/>
                <w:szCs w:val="20"/>
              </w:rPr>
              <w:t>07</w:t>
            </w:r>
          </w:p>
        </w:tc>
        <w:tc>
          <w:tcPr>
            <w:tcW w:w="1536" w:type="dxa"/>
          </w:tcPr>
          <w:p w:rsidR="00341349" w:rsidRPr="00FB2FDB" w:rsidRDefault="00341349" w:rsidP="000B423A">
            <w:pPr>
              <w:jc w:val="center"/>
              <w:rPr>
                <w:rFonts w:ascii="Century Gothic" w:hAnsi="Century Gothic"/>
                <w:sz w:val="20"/>
                <w:szCs w:val="20"/>
              </w:rPr>
            </w:pPr>
          </w:p>
        </w:tc>
      </w:tr>
    </w:tbl>
    <w:p w:rsidR="00341349" w:rsidRPr="000B423A" w:rsidRDefault="00341349" w:rsidP="00FB2FDB">
      <w:pPr>
        <w:ind w:firstLine="709"/>
        <w:jc w:val="both"/>
        <w:rPr>
          <w:rFonts w:ascii="Century Gothic" w:hAnsi="Century Gothic"/>
          <w:sz w:val="20"/>
          <w:szCs w:val="20"/>
        </w:rPr>
      </w:pPr>
      <w:r w:rsidRPr="000B423A">
        <w:rPr>
          <w:rFonts w:ascii="Century Gothic" w:hAnsi="Century Gothic"/>
          <w:sz w:val="20"/>
          <w:szCs w:val="20"/>
        </w:rPr>
        <w:t xml:space="preserve">Nível de significância: * 1%, ** 5%, *** 10%, </w:t>
      </w:r>
      <w:proofErr w:type="spellStart"/>
      <w:r w:rsidRPr="000B423A">
        <w:rPr>
          <w:rFonts w:ascii="Century Gothic" w:hAnsi="Century Gothic"/>
          <w:sz w:val="20"/>
          <w:szCs w:val="20"/>
        </w:rPr>
        <w:t>ns</w:t>
      </w:r>
      <w:proofErr w:type="spellEnd"/>
      <w:r w:rsidRPr="000B423A">
        <w:rPr>
          <w:rFonts w:ascii="Century Gothic" w:hAnsi="Century Gothic"/>
          <w:sz w:val="20"/>
          <w:szCs w:val="20"/>
        </w:rPr>
        <w:t>: não significativo.</w:t>
      </w:r>
    </w:p>
    <w:p w:rsidR="000B423A" w:rsidRPr="000B423A" w:rsidRDefault="000B423A" w:rsidP="000B423A">
      <w:pPr>
        <w:ind w:firstLine="709"/>
        <w:jc w:val="both"/>
        <w:rPr>
          <w:rFonts w:ascii="Century Gothic" w:hAnsi="Century Gothic"/>
          <w:sz w:val="20"/>
          <w:szCs w:val="20"/>
        </w:rPr>
      </w:pPr>
      <w:r w:rsidRPr="000B423A">
        <w:rPr>
          <w:rFonts w:ascii="Century Gothic" w:hAnsi="Century Gothic"/>
          <w:sz w:val="20"/>
          <w:szCs w:val="20"/>
        </w:rPr>
        <w:t>Fonte: Elaborada pelos autores.</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 xml:space="preserve">Para o grupo 1, o </w:t>
      </w:r>
      <w:proofErr w:type="gramStart"/>
      <w:r w:rsidRPr="00FB2FDB">
        <w:rPr>
          <w:rFonts w:ascii="Century Gothic" w:hAnsi="Century Gothic"/>
        </w:rPr>
        <w:t xml:space="preserve">coeficiente </w:t>
      </w:r>
      <w:r w:rsidRPr="00FB2FDB">
        <w:rPr>
          <w:rFonts w:ascii="Century Gothic" w:hAnsi="Century Gothic"/>
        </w:rPr>
        <w:sym w:font="Symbol" w:char="F062"/>
      </w:r>
      <w:r w:rsidRPr="00FB2FDB">
        <w:rPr>
          <w:rFonts w:ascii="Century Gothic" w:hAnsi="Century Gothic"/>
        </w:rPr>
        <w:t xml:space="preserve"> é</w:t>
      </w:r>
      <w:proofErr w:type="gramEnd"/>
      <w:r w:rsidRPr="00FB2FDB">
        <w:rPr>
          <w:rFonts w:ascii="Century Gothic" w:hAnsi="Century Gothic"/>
        </w:rPr>
        <w:t xml:space="preserve"> positivo, indicando que os estoques causam impactos positivos no lucro, mas a variável não é significativa. No caso do grupo 2, o sinal negativo </w:t>
      </w:r>
      <w:proofErr w:type="gramStart"/>
      <w:r w:rsidRPr="00FB2FDB">
        <w:rPr>
          <w:rFonts w:ascii="Century Gothic" w:hAnsi="Century Gothic"/>
        </w:rPr>
        <w:t xml:space="preserve">do </w:t>
      </w:r>
      <w:r w:rsidRPr="00FB2FDB">
        <w:rPr>
          <w:rFonts w:ascii="Century Gothic" w:hAnsi="Century Gothic"/>
        </w:rPr>
        <w:sym w:font="Symbol" w:char="F062"/>
      </w:r>
      <w:r w:rsidRPr="00FB2FDB">
        <w:rPr>
          <w:rFonts w:ascii="Century Gothic" w:hAnsi="Century Gothic"/>
        </w:rPr>
        <w:t xml:space="preserve"> mostra</w:t>
      </w:r>
      <w:proofErr w:type="gramEnd"/>
      <w:r w:rsidRPr="00FB2FDB">
        <w:rPr>
          <w:rFonts w:ascii="Century Gothic" w:hAnsi="Century Gothic"/>
        </w:rPr>
        <w:t xml:space="preserve"> relação inversamente proporcional, mas o nível de significância também acusa pequena importância da variável. O coeficiente de determinação ajustado em ambos confirma a baixa importância dos estoques sobre a rentabilidade das empresas. </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Porém, o que se busca não é verificar qual a importância do estoque, mas sim avaliar se o fato de haver diferenças nos volumes de estoque, determinadas pela sazonalidade das atividades, é capaz de provocar mudanças relativas </w:t>
      </w:r>
      <w:proofErr w:type="spellStart"/>
      <w:r w:rsidRPr="00FB2FDB">
        <w:rPr>
          <w:rFonts w:ascii="Century Gothic" w:hAnsi="Century Gothic"/>
        </w:rPr>
        <w:t>na</w:t>
      </w:r>
      <w:proofErr w:type="spellEnd"/>
      <w:r w:rsidRPr="00FB2FDB">
        <w:rPr>
          <w:rFonts w:ascii="Century Gothic" w:hAnsi="Century Gothic"/>
        </w:rPr>
        <w:t xml:space="preserve"> relevância da variável, isto é, se o estoque teria participação diferente em se tratando de grupos distintos.</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Para avaliar tal situação, recorreu-se ao teste de </w:t>
      </w:r>
      <w:proofErr w:type="spellStart"/>
      <w:r w:rsidRPr="00FB2FDB">
        <w:rPr>
          <w:rFonts w:ascii="Century Gothic" w:hAnsi="Century Gothic"/>
        </w:rPr>
        <w:t>Chow</w:t>
      </w:r>
      <w:proofErr w:type="spellEnd"/>
      <w:r w:rsidRPr="00FB2FDB">
        <w:rPr>
          <w:rFonts w:ascii="Century Gothic" w:hAnsi="Century Gothic"/>
        </w:rPr>
        <w:t xml:space="preserve">, conforme </w:t>
      </w:r>
      <w:proofErr w:type="spellStart"/>
      <w:r w:rsidRPr="00FB2FDB">
        <w:rPr>
          <w:rFonts w:ascii="Century Gothic" w:hAnsi="Century Gothic"/>
        </w:rPr>
        <w:t>Gujarati</w:t>
      </w:r>
      <w:proofErr w:type="spellEnd"/>
      <w:r w:rsidRPr="00FB2FDB">
        <w:rPr>
          <w:rFonts w:ascii="Century Gothic" w:hAnsi="Century Gothic"/>
        </w:rPr>
        <w:t xml:space="preserve"> (2000). O procedimento é o seguinte: estima-se uma função de regressão com todas as observações e toma-se a soma dos quadrados dos resíduos (</w:t>
      </w:r>
      <w:r w:rsidR="00360B1F" w:rsidRPr="00FB2FDB">
        <w:rPr>
          <w:rFonts w:ascii="Century Gothic" w:hAnsi="Century Gothic"/>
        </w:rPr>
        <w:t>S</w:t>
      </w:r>
      <w:r w:rsidRPr="00FB2FDB">
        <w:rPr>
          <w:rFonts w:ascii="Century Gothic" w:hAnsi="Century Gothic"/>
        </w:rPr>
        <w:t>1); estima-se uma função para cada grupo e pegam-se as somas de quadrados de resíduos (</w:t>
      </w:r>
      <w:r w:rsidR="00360B1F" w:rsidRPr="00FB2FDB">
        <w:rPr>
          <w:rFonts w:ascii="Century Gothic" w:hAnsi="Century Gothic"/>
        </w:rPr>
        <w:t>S</w:t>
      </w:r>
      <w:r w:rsidRPr="00FB2FDB">
        <w:rPr>
          <w:rFonts w:ascii="Century Gothic" w:hAnsi="Century Gothic"/>
        </w:rPr>
        <w:t xml:space="preserve">2 e </w:t>
      </w:r>
      <w:r w:rsidR="00360B1F" w:rsidRPr="00FB2FDB">
        <w:rPr>
          <w:rFonts w:ascii="Century Gothic" w:hAnsi="Century Gothic"/>
        </w:rPr>
        <w:t>S</w:t>
      </w:r>
      <w:r w:rsidRPr="00FB2FDB">
        <w:rPr>
          <w:rFonts w:ascii="Century Gothic" w:hAnsi="Century Gothic"/>
        </w:rPr>
        <w:t>3). A</w:t>
      </w:r>
      <w:r w:rsidR="00360B1F" w:rsidRPr="00FB2FDB">
        <w:rPr>
          <w:rFonts w:ascii="Century Gothic" w:hAnsi="Century Gothic"/>
        </w:rPr>
        <w:t xml:space="preserve"> partir daí, estima-se </w:t>
      </w:r>
      <w:r w:rsidR="000D38BE" w:rsidRPr="00FB2FDB">
        <w:rPr>
          <w:rFonts w:ascii="Century Gothic" w:hAnsi="Century Gothic"/>
        </w:rPr>
        <w:t>a</w:t>
      </w:r>
      <w:r w:rsidR="00360B1F" w:rsidRPr="00FB2FDB">
        <w:rPr>
          <w:rFonts w:ascii="Century Gothic" w:hAnsi="Century Gothic"/>
        </w:rPr>
        <w:t xml:space="preserve"> soma S</w:t>
      </w:r>
      <w:r w:rsidRPr="00FB2FDB">
        <w:rPr>
          <w:rFonts w:ascii="Century Gothic" w:hAnsi="Century Gothic"/>
        </w:rPr>
        <w:t>4 (</w:t>
      </w:r>
      <w:r w:rsidR="00360B1F" w:rsidRPr="00FB2FDB">
        <w:rPr>
          <w:rFonts w:ascii="Century Gothic" w:hAnsi="Century Gothic"/>
        </w:rPr>
        <w:t>S</w:t>
      </w:r>
      <w:r w:rsidRPr="00FB2FDB">
        <w:rPr>
          <w:rFonts w:ascii="Century Gothic" w:hAnsi="Century Gothic"/>
        </w:rPr>
        <w:t xml:space="preserve">2 + </w:t>
      </w:r>
      <w:r w:rsidR="00360B1F" w:rsidRPr="00FB2FDB">
        <w:rPr>
          <w:rFonts w:ascii="Century Gothic" w:hAnsi="Century Gothic"/>
        </w:rPr>
        <w:t>S</w:t>
      </w:r>
      <w:r w:rsidRPr="00FB2FDB">
        <w:rPr>
          <w:rFonts w:ascii="Century Gothic" w:hAnsi="Century Gothic"/>
        </w:rPr>
        <w:t xml:space="preserve">3) e a soma </w:t>
      </w:r>
      <w:r w:rsidR="00360B1F" w:rsidRPr="00FB2FDB">
        <w:rPr>
          <w:rFonts w:ascii="Century Gothic" w:hAnsi="Century Gothic"/>
        </w:rPr>
        <w:t>S</w:t>
      </w:r>
      <w:r w:rsidRPr="00FB2FDB">
        <w:rPr>
          <w:rFonts w:ascii="Century Gothic" w:hAnsi="Century Gothic"/>
        </w:rPr>
        <w:t>5 (</w:t>
      </w:r>
      <w:r w:rsidR="00360B1F" w:rsidRPr="00FB2FDB">
        <w:rPr>
          <w:rFonts w:ascii="Century Gothic" w:hAnsi="Century Gothic"/>
        </w:rPr>
        <w:t>S</w:t>
      </w:r>
      <w:r w:rsidRPr="00FB2FDB">
        <w:rPr>
          <w:rFonts w:ascii="Century Gothic" w:hAnsi="Century Gothic"/>
        </w:rPr>
        <w:t xml:space="preserve">1 – </w:t>
      </w:r>
      <w:r w:rsidR="00360B1F" w:rsidRPr="00FB2FDB">
        <w:rPr>
          <w:rFonts w:ascii="Century Gothic" w:hAnsi="Century Gothic"/>
        </w:rPr>
        <w:t>S</w:t>
      </w:r>
      <w:r w:rsidRPr="00FB2FDB">
        <w:rPr>
          <w:rFonts w:ascii="Century Gothic" w:hAnsi="Century Gothic"/>
        </w:rPr>
        <w:t>4). Depois, calcula-se a estatística F, segundo a função abaixo, em que k é o número de parâmetros de cada função estimada:</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center"/>
        <w:rPr>
          <w:rFonts w:ascii="Century Gothic" w:hAnsi="Century Gothic"/>
        </w:rPr>
      </w:pPr>
      <w:r w:rsidRPr="00FB2FDB">
        <w:rPr>
          <w:rFonts w:ascii="Century Gothic" w:hAnsi="Century Gothic"/>
          <w:position w:val="-52"/>
        </w:rPr>
        <w:object w:dxaOrig="2140" w:dyaOrig="11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05pt;height:54.45pt" o:ole="">
            <v:imagedata r:id="rId8" o:title=""/>
          </v:shape>
          <o:OLEObject Type="Embed" ProgID="Equation.3" ShapeID="_x0000_i1025" DrawAspect="Content" ObjectID="_1535713344" r:id="rId9"/>
        </w:object>
      </w:r>
      <w:r w:rsidR="00FB2FDB">
        <w:rPr>
          <w:rFonts w:ascii="Century Gothic" w:hAnsi="Century Gothic"/>
        </w:rPr>
        <w:tab/>
      </w:r>
      <w:r w:rsidR="00FB2FDB">
        <w:rPr>
          <w:rFonts w:ascii="Century Gothic" w:hAnsi="Century Gothic"/>
        </w:rPr>
        <w:tab/>
      </w:r>
      <w:r w:rsidR="00FB2FDB">
        <w:rPr>
          <w:rFonts w:ascii="Century Gothic" w:hAnsi="Century Gothic"/>
        </w:rPr>
        <w:tab/>
      </w:r>
      <w:r w:rsidR="00FB2FDB">
        <w:rPr>
          <w:rFonts w:ascii="Century Gothic" w:hAnsi="Century Gothic"/>
        </w:rPr>
        <w:tab/>
      </w:r>
      <w:r w:rsidR="00FB2FDB">
        <w:rPr>
          <w:rFonts w:ascii="Century Gothic" w:hAnsi="Century Gothic"/>
        </w:rPr>
        <w:tab/>
      </w:r>
      <w:r w:rsidR="00FB2FDB">
        <w:rPr>
          <w:rFonts w:ascii="Century Gothic" w:hAnsi="Century Gothic"/>
        </w:rPr>
        <w:tab/>
      </w:r>
      <w:r w:rsidRPr="00FB2FDB">
        <w:rPr>
          <w:rFonts w:ascii="Century Gothic" w:hAnsi="Century Gothic"/>
        </w:rPr>
        <w:t xml:space="preserve">  (2)</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Após isso, compara-se a estatística F calculada com o valor crítico desejado.</w:t>
      </w:r>
    </w:p>
    <w:p w:rsidR="00341349" w:rsidRPr="00FB2FDB" w:rsidRDefault="00341349" w:rsidP="00FB2FDB">
      <w:pPr>
        <w:ind w:firstLine="709"/>
        <w:jc w:val="both"/>
        <w:rPr>
          <w:rFonts w:ascii="Century Gothic" w:hAnsi="Century Gothic"/>
        </w:rPr>
      </w:pPr>
      <w:r w:rsidRPr="00FB2FDB">
        <w:rPr>
          <w:rFonts w:ascii="Century Gothic" w:hAnsi="Century Gothic"/>
        </w:rPr>
        <w:lastRenderedPageBreak/>
        <w:t xml:space="preserve">Efetuando os cálculos, encontra-se F igual a </w:t>
      </w:r>
      <w:r w:rsidR="005F40AB" w:rsidRPr="00FB2FDB">
        <w:rPr>
          <w:rFonts w:ascii="Century Gothic" w:hAnsi="Century Gothic"/>
        </w:rPr>
        <w:t>21,46</w:t>
      </w:r>
      <w:r w:rsidRPr="00FB2FDB">
        <w:rPr>
          <w:rFonts w:ascii="Century Gothic" w:hAnsi="Century Gothic"/>
        </w:rPr>
        <w:t>. Como o valor crítico, ao nível de significância de 0,01, é de 4,61, deve-se rejeitar H</w:t>
      </w:r>
      <w:r w:rsidRPr="00FB2FDB">
        <w:rPr>
          <w:rFonts w:ascii="Century Gothic" w:hAnsi="Century Gothic"/>
          <w:vertAlign w:val="subscript"/>
        </w:rPr>
        <w:t>0</w:t>
      </w:r>
      <w:r w:rsidRPr="00FB2FDB">
        <w:rPr>
          <w:rFonts w:ascii="Century Gothic" w:hAnsi="Century Gothic"/>
        </w:rPr>
        <w:t>. Com base nesse resultado, conclui-se que não há estabilidade estrutural, ou seja, os modelos de regressão não são equivalentes, permitindo afirmar que a influência dos estoques se difere em função da sazonalidade de produção.</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Portanto, apesar da pouca importância dos estoques sobre a rentabilidade das empresas, o fato marcante é que a sazonalidade das atividades determina influência distinta de uma variável sobre a outra. Para o grupo com baixa sazonalidade, os estoques têm influência positiva, ou seja, quanto maior forem, maior será a lucratividade, ao passo que para o grupo com maior sazonalidade, os estoques provocam redução da rentabilidade.</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Esse resultado está de acordo com as proposições de </w:t>
      </w:r>
      <w:r w:rsidR="000D38BE" w:rsidRPr="00FB2FDB">
        <w:rPr>
          <w:rFonts w:ascii="Century Gothic" w:hAnsi="Century Gothic"/>
        </w:rPr>
        <w:t xml:space="preserve">Bradley e </w:t>
      </w:r>
      <w:proofErr w:type="spellStart"/>
      <w:r w:rsidR="000D38BE" w:rsidRPr="00FB2FDB">
        <w:rPr>
          <w:rFonts w:ascii="Century Gothic" w:hAnsi="Century Gothic"/>
        </w:rPr>
        <w:t>Arntzen</w:t>
      </w:r>
      <w:proofErr w:type="spellEnd"/>
      <w:r w:rsidR="000D38BE" w:rsidRPr="00FB2FDB">
        <w:rPr>
          <w:rFonts w:ascii="Century Gothic" w:hAnsi="Century Gothic"/>
        </w:rPr>
        <w:t xml:space="preserve"> (1999), </w:t>
      </w:r>
      <w:proofErr w:type="spellStart"/>
      <w:r w:rsidRPr="00FB2FDB">
        <w:rPr>
          <w:rFonts w:ascii="Century Gothic" w:hAnsi="Century Gothic"/>
        </w:rPr>
        <w:t>Brealey</w:t>
      </w:r>
      <w:proofErr w:type="spellEnd"/>
      <w:r w:rsidRPr="00FB2FDB">
        <w:rPr>
          <w:rFonts w:ascii="Century Gothic" w:hAnsi="Century Gothic"/>
        </w:rPr>
        <w:t xml:space="preserve"> e Myers (1992), </w:t>
      </w:r>
      <w:proofErr w:type="spellStart"/>
      <w:r w:rsidRPr="00FB2FDB">
        <w:rPr>
          <w:rFonts w:ascii="Century Gothic" w:hAnsi="Century Gothic"/>
        </w:rPr>
        <w:t>Gitman</w:t>
      </w:r>
      <w:proofErr w:type="spellEnd"/>
      <w:r w:rsidRPr="00FB2FDB">
        <w:rPr>
          <w:rFonts w:ascii="Century Gothic" w:hAnsi="Century Gothic"/>
        </w:rPr>
        <w:t xml:space="preserve"> (2004), Ross</w:t>
      </w:r>
      <w:r w:rsidRPr="00FB2FDB">
        <w:rPr>
          <w:rFonts w:ascii="Century Gothic" w:hAnsi="Century Gothic"/>
          <w:i/>
        </w:rPr>
        <w:t xml:space="preserve">, </w:t>
      </w:r>
      <w:proofErr w:type="spellStart"/>
      <w:r w:rsidRPr="00FB2FDB">
        <w:rPr>
          <w:rFonts w:ascii="Century Gothic" w:hAnsi="Century Gothic"/>
        </w:rPr>
        <w:t>Westerfield</w:t>
      </w:r>
      <w:proofErr w:type="spellEnd"/>
      <w:r w:rsidRPr="00FB2FDB">
        <w:rPr>
          <w:rFonts w:ascii="Century Gothic" w:hAnsi="Century Gothic"/>
        </w:rPr>
        <w:t xml:space="preserve"> e </w:t>
      </w:r>
      <w:proofErr w:type="spellStart"/>
      <w:r w:rsidRPr="00FB2FDB">
        <w:rPr>
          <w:rFonts w:ascii="Century Gothic" w:hAnsi="Century Gothic"/>
        </w:rPr>
        <w:t>Jaffe</w:t>
      </w:r>
      <w:proofErr w:type="spellEnd"/>
      <w:r w:rsidRPr="00FB2FDB">
        <w:rPr>
          <w:rFonts w:ascii="Century Gothic" w:hAnsi="Century Gothic"/>
        </w:rPr>
        <w:t xml:space="preserve"> (2002) e Weston e </w:t>
      </w:r>
      <w:proofErr w:type="spellStart"/>
      <w:r w:rsidRPr="00FB2FDB">
        <w:rPr>
          <w:rFonts w:ascii="Century Gothic" w:hAnsi="Century Gothic"/>
        </w:rPr>
        <w:t>Brigham</w:t>
      </w:r>
      <w:proofErr w:type="spellEnd"/>
      <w:r w:rsidRPr="00FB2FDB">
        <w:rPr>
          <w:rStyle w:val="Refdenotaderodap"/>
          <w:rFonts w:ascii="Century Gothic" w:hAnsi="Century Gothic"/>
        </w:rPr>
        <w:t xml:space="preserve"> </w:t>
      </w:r>
      <w:r w:rsidRPr="00FB2FDB">
        <w:rPr>
          <w:rFonts w:ascii="Century Gothic" w:hAnsi="Century Gothic"/>
        </w:rPr>
        <w:t>(2001), segundo os quais a manutenção de estoques elevados pode comprometer a rentabilidade das empresas.</w:t>
      </w:r>
      <w:r w:rsidR="000D38BE" w:rsidRPr="00FB2FDB">
        <w:rPr>
          <w:rFonts w:ascii="Century Gothic" w:hAnsi="Century Gothic"/>
        </w:rPr>
        <w:t xml:space="preserve"> </w:t>
      </w:r>
    </w:p>
    <w:p w:rsidR="00341349" w:rsidRPr="00FB2FDB" w:rsidRDefault="00341349" w:rsidP="00FB2FDB">
      <w:pPr>
        <w:ind w:firstLine="709"/>
        <w:jc w:val="both"/>
        <w:rPr>
          <w:rFonts w:ascii="Century Gothic" w:hAnsi="Century Gothic"/>
        </w:rPr>
      </w:pPr>
    </w:p>
    <w:p w:rsidR="00341349" w:rsidRPr="00FB2FDB" w:rsidRDefault="00341349" w:rsidP="00FB2FDB">
      <w:pPr>
        <w:jc w:val="both"/>
        <w:rPr>
          <w:rFonts w:ascii="Century Gothic" w:hAnsi="Century Gothic"/>
          <w:b/>
        </w:rPr>
      </w:pPr>
      <w:r w:rsidRPr="00FB2FDB">
        <w:rPr>
          <w:rFonts w:ascii="Century Gothic" w:hAnsi="Century Gothic"/>
          <w:b/>
        </w:rPr>
        <w:t>5 Considerações Finais</w:t>
      </w:r>
    </w:p>
    <w:p w:rsidR="00341349" w:rsidRPr="00FB2FDB" w:rsidRDefault="00341349" w:rsidP="00FB2FDB">
      <w:pPr>
        <w:ind w:firstLine="709"/>
        <w:jc w:val="both"/>
        <w:rPr>
          <w:rFonts w:ascii="Century Gothic" w:hAnsi="Century Gothic"/>
        </w:rPr>
      </w:pPr>
    </w:p>
    <w:p w:rsidR="00341349" w:rsidRPr="00FB2FDB" w:rsidRDefault="00341349" w:rsidP="00FB2FDB">
      <w:pPr>
        <w:ind w:firstLine="709"/>
        <w:jc w:val="both"/>
        <w:rPr>
          <w:rFonts w:ascii="Century Gothic" w:hAnsi="Century Gothic"/>
        </w:rPr>
      </w:pPr>
      <w:r w:rsidRPr="00FB2FDB">
        <w:rPr>
          <w:rFonts w:ascii="Century Gothic" w:hAnsi="Century Gothic"/>
        </w:rPr>
        <w:t>Procurou-se, com a presente pesquisa, avaliar os efeitos da sazonalidade da produção sobre os níveis de estoque e taxas de retorno de diversas empresas do segmento industrial.</w:t>
      </w:r>
      <w:r w:rsidR="00FB2FDB">
        <w:rPr>
          <w:rFonts w:ascii="Century Gothic" w:hAnsi="Century Gothic"/>
        </w:rPr>
        <w:t xml:space="preserve"> </w:t>
      </w:r>
      <w:r w:rsidRPr="00FB2FDB">
        <w:rPr>
          <w:rFonts w:ascii="Century Gothic" w:hAnsi="Century Gothic"/>
        </w:rPr>
        <w:t>Conforme revisão bibliográfica realizada, constatou-se que quanto maiores as flutuações de produção, maiores devem ser os estoques e o efeito sobre a lucratividade deve ser negativo.</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Para avaliação das proposições acima mencionadas, buscou-se, inicialmente, identificar segmentos da indústria que tivessem padrões sazonais distintos, em termos de produção. Após isso, dados relativos aos estoques e lucratividade foram comparados. </w:t>
      </w:r>
    </w:p>
    <w:p w:rsidR="00D82A15" w:rsidRPr="00FB2FDB" w:rsidRDefault="00341349" w:rsidP="00FB2FDB">
      <w:pPr>
        <w:ind w:firstLine="709"/>
        <w:jc w:val="both"/>
        <w:rPr>
          <w:rFonts w:ascii="Century Gothic" w:hAnsi="Century Gothic"/>
        </w:rPr>
      </w:pPr>
      <w:r w:rsidRPr="00FB2FDB">
        <w:rPr>
          <w:rFonts w:ascii="Century Gothic" w:hAnsi="Century Gothic"/>
        </w:rPr>
        <w:t>Com base nos resultados encontrados, constatou-se que a maior sazonalidade da produção implica em maiores volumes de estoque. Da mesma forma, identificou-se relação inversa entre os índices de estoque e taxas de retorno</w:t>
      </w:r>
      <w:r w:rsidR="00D82A15" w:rsidRPr="00FB2FDB">
        <w:rPr>
          <w:rFonts w:ascii="Century Gothic" w:hAnsi="Century Gothic"/>
        </w:rPr>
        <w:t>,</w:t>
      </w:r>
      <w:r w:rsidRPr="00FB2FDB">
        <w:rPr>
          <w:rFonts w:ascii="Century Gothic" w:hAnsi="Century Gothic"/>
        </w:rPr>
        <w:t xml:space="preserve"> </w:t>
      </w:r>
      <w:r w:rsidR="00695A33" w:rsidRPr="00FB2FDB">
        <w:rPr>
          <w:rFonts w:ascii="Century Gothic" w:hAnsi="Century Gothic"/>
        </w:rPr>
        <w:t xml:space="preserve">especificamente </w:t>
      </w:r>
      <w:r w:rsidRPr="00FB2FDB">
        <w:rPr>
          <w:rFonts w:ascii="Century Gothic" w:hAnsi="Century Gothic"/>
        </w:rPr>
        <w:t>no caso das empresas que apresentam maiores flutuações de produção e, consequentemente, mantêm maiores volumes de estoque.</w:t>
      </w:r>
    </w:p>
    <w:p w:rsidR="00DB44AE" w:rsidRPr="00FB2FDB" w:rsidRDefault="007E5154" w:rsidP="00FB2FDB">
      <w:pPr>
        <w:ind w:firstLine="709"/>
        <w:jc w:val="both"/>
        <w:rPr>
          <w:rFonts w:ascii="Century Gothic" w:hAnsi="Century Gothic"/>
        </w:rPr>
      </w:pPr>
      <w:r w:rsidRPr="00FB2FDB">
        <w:rPr>
          <w:rFonts w:ascii="Century Gothic" w:hAnsi="Century Gothic"/>
        </w:rPr>
        <w:t xml:space="preserve">Os </w:t>
      </w:r>
      <w:r w:rsidR="00D82A15" w:rsidRPr="00FB2FDB">
        <w:rPr>
          <w:rFonts w:ascii="Century Gothic" w:hAnsi="Century Gothic"/>
        </w:rPr>
        <w:t>resultados</w:t>
      </w:r>
      <w:r w:rsidRPr="00FB2FDB">
        <w:rPr>
          <w:rFonts w:ascii="Century Gothic" w:hAnsi="Century Gothic"/>
        </w:rPr>
        <w:t xml:space="preserve"> apresentados</w:t>
      </w:r>
      <w:r w:rsidR="00D82A15" w:rsidRPr="00FB2FDB">
        <w:rPr>
          <w:rFonts w:ascii="Century Gothic" w:hAnsi="Century Gothic"/>
        </w:rPr>
        <w:t xml:space="preserve">, ainda que esperados, pois consoantes com boa parte da literatura </w:t>
      </w:r>
      <w:r w:rsidRPr="00FB2FDB">
        <w:rPr>
          <w:rFonts w:ascii="Century Gothic" w:hAnsi="Century Gothic"/>
        </w:rPr>
        <w:t>revista</w:t>
      </w:r>
      <w:r w:rsidR="00D82A15" w:rsidRPr="00FB2FDB">
        <w:rPr>
          <w:rFonts w:ascii="Century Gothic" w:hAnsi="Century Gothic"/>
        </w:rPr>
        <w:t>, mostra</w:t>
      </w:r>
      <w:r w:rsidR="00DB44AE" w:rsidRPr="00FB2FDB">
        <w:rPr>
          <w:rFonts w:ascii="Century Gothic" w:hAnsi="Century Gothic"/>
        </w:rPr>
        <w:t>m</w:t>
      </w:r>
      <w:r w:rsidR="00D82A15" w:rsidRPr="00FB2FDB">
        <w:rPr>
          <w:rFonts w:ascii="Century Gothic" w:hAnsi="Century Gothic"/>
        </w:rPr>
        <w:t xml:space="preserve"> um aspecto gerencial de extrema relevância para as empresas. Variações na produção podem ocorrer por causas diversas, desde aspectos relativos à oferta de matéri</w:t>
      </w:r>
      <w:r w:rsidR="00DB44AE" w:rsidRPr="00FB2FDB">
        <w:rPr>
          <w:rFonts w:ascii="Century Gothic" w:hAnsi="Century Gothic"/>
        </w:rPr>
        <w:t xml:space="preserve">a prima, passando por </w:t>
      </w:r>
      <w:r w:rsidR="00695A33" w:rsidRPr="00FB2FDB">
        <w:rPr>
          <w:rFonts w:ascii="Century Gothic" w:hAnsi="Century Gothic"/>
        </w:rPr>
        <w:t>questões</w:t>
      </w:r>
      <w:r w:rsidR="00DB44AE" w:rsidRPr="00FB2FDB">
        <w:rPr>
          <w:rFonts w:ascii="Century Gothic" w:hAnsi="Century Gothic"/>
        </w:rPr>
        <w:t xml:space="preserve"> climátic</w:t>
      </w:r>
      <w:r w:rsidR="00695A33" w:rsidRPr="00FB2FDB">
        <w:rPr>
          <w:rFonts w:ascii="Century Gothic" w:hAnsi="Century Gothic"/>
        </w:rPr>
        <w:t>a</w:t>
      </w:r>
      <w:r w:rsidR="00DB44AE" w:rsidRPr="00FB2FDB">
        <w:rPr>
          <w:rFonts w:ascii="Century Gothic" w:hAnsi="Century Gothic"/>
        </w:rPr>
        <w:t xml:space="preserve">s, até </w:t>
      </w:r>
      <w:r w:rsidR="004706E5" w:rsidRPr="00FB2FDB">
        <w:rPr>
          <w:rFonts w:ascii="Century Gothic" w:hAnsi="Century Gothic"/>
        </w:rPr>
        <w:t>flutuações</w:t>
      </w:r>
      <w:r w:rsidR="00DB44AE" w:rsidRPr="00FB2FDB">
        <w:rPr>
          <w:rFonts w:ascii="Century Gothic" w:hAnsi="Century Gothic"/>
        </w:rPr>
        <w:t xml:space="preserve"> determinad</w:t>
      </w:r>
      <w:r w:rsidR="004706E5" w:rsidRPr="00FB2FDB">
        <w:rPr>
          <w:rFonts w:ascii="Century Gothic" w:hAnsi="Century Gothic"/>
        </w:rPr>
        <w:t>a</w:t>
      </w:r>
      <w:r w:rsidR="00DB44AE" w:rsidRPr="00FB2FDB">
        <w:rPr>
          <w:rFonts w:ascii="Century Gothic" w:hAnsi="Century Gothic"/>
        </w:rPr>
        <w:t>s pelo comportamento da demanda, entre outros</w:t>
      </w:r>
      <w:r w:rsidR="00E72C36" w:rsidRPr="00FB2FDB">
        <w:rPr>
          <w:rFonts w:ascii="Century Gothic" w:hAnsi="Century Gothic"/>
        </w:rPr>
        <w:t>, não desconsiderando questões internas às empresas</w:t>
      </w:r>
      <w:r w:rsidR="00DB44AE" w:rsidRPr="00FB2FDB">
        <w:rPr>
          <w:rFonts w:ascii="Century Gothic" w:hAnsi="Century Gothic"/>
        </w:rPr>
        <w:t xml:space="preserve">. Muito embora possam ser previstos, na maioria das vezes não são </w:t>
      </w:r>
      <w:r w:rsidR="00695A33" w:rsidRPr="00FB2FDB">
        <w:rPr>
          <w:rFonts w:ascii="Century Gothic" w:hAnsi="Century Gothic"/>
        </w:rPr>
        <w:t>evitáveis, podendo no máximo ser controlados ou minimizados seus efeitos</w:t>
      </w:r>
      <w:r w:rsidR="00DB44AE" w:rsidRPr="00FB2FDB">
        <w:rPr>
          <w:rFonts w:ascii="Century Gothic" w:hAnsi="Century Gothic"/>
        </w:rPr>
        <w:t xml:space="preserve">. </w:t>
      </w:r>
    </w:p>
    <w:p w:rsidR="00341349" w:rsidRPr="00FB2FDB" w:rsidRDefault="00341349" w:rsidP="00FB2FDB">
      <w:pPr>
        <w:ind w:firstLine="709"/>
        <w:jc w:val="both"/>
        <w:rPr>
          <w:rFonts w:ascii="Century Gothic" w:hAnsi="Century Gothic"/>
        </w:rPr>
      </w:pPr>
      <w:r w:rsidRPr="00FB2FDB">
        <w:rPr>
          <w:rFonts w:ascii="Century Gothic" w:hAnsi="Century Gothic"/>
        </w:rPr>
        <w:t xml:space="preserve">Nessas assertivas residem as possíveis contribuições </w:t>
      </w:r>
      <w:r w:rsidR="0020146C" w:rsidRPr="00FB2FDB">
        <w:rPr>
          <w:rFonts w:ascii="Century Gothic" w:hAnsi="Century Gothic"/>
        </w:rPr>
        <w:t xml:space="preserve">gerenciais </w:t>
      </w:r>
      <w:r w:rsidRPr="00FB2FDB">
        <w:rPr>
          <w:rFonts w:ascii="Century Gothic" w:hAnsi="Century Gothic"/>
        </w:rPr>
        <w:t>da pesquisa, pois constata-se a necessidade de gerenciamento diferenciado de estoques</w:t>
      </w:r>
      <w:r w:rsidR="00C749B0" w:rsidRPr="00FB2FDB">
        <w:rPr>
          <w:rFonts w:ascii="Century Gothic" w:hAnsi="Century Gothic"/>
        </w:rPr>
        <w:t>,</w:t>
      </w:r>
      <w:r w:rsidRPr="00FB2FDB">
        <w:rPr>
          <w:rFonts w:ascii="Century Gothic" w:hAnsi="Century Gothic"/>
        </w:rPr>
        <w:t xml:space="preserve"> </w:t>
      </w:r>
      <w:r w:rsidR="00C749B0" w:rsidRPr="00FB2FDB">
        <w:rPr>
          <w:rFonts w:ascii="Century Gothic" w:hAnsi="Century Gothic"/>
        </w:rPr>
        <w:t xml:space="preserve">em termos operacionais e financeiros, </w:t>
      </w:r>
      <w:r w:rsidRPr="00FB2FDB">
        <w:rPr>
          <w:rFonts w:ascii="Century Gothic" w:hAnsi="Century Gothic"/>
        </w:rPr>
        <w:t xml:space="preserve">por parte das organizações </w:t>
      </w:r>
      <w:r w:rsidRPr="00FB2FDB">
        <w:rPr>
          <w:rFonts w:ascii="Century Gothic" w:hAnsi="Century Gothic"/>
        </w:rPr>
        <w:lastRenderedPageBreak/>
        <w:t xml:space="preserve">sujeitas a </w:t>
      </w:r>
      <w:proofErr w:type="spellStart"/>
      <w:r w:rsidRPr="00FB2FDB">
        <w:rPr>
          <w:rFonts w:ascii="Century Gothic" w:hAnsi="Century Gothic"/>
        </w:rPr>
        <w:t>estacionalidade</w:t>
      </w:r>
      <w:proofErr w:type="spellEnd"/>
      <w:r w:rsidRPr="00FB2FDB">
        <w:rPr>
          <w:rFonts w:ascii="Century Gothic" w:hAnsi="Century Gothic"/>
        </w:rPr>
        <w:t xml:space="preserve"> das atividades produtivas.</w:t>
      </w:r>
      <w:r w:rsidR="00604A1E" w:rsidRPr="00FB2FDB">
        <w:rPr>
          <w:rFonts w:ascii="Century Gothic" w:hAnsi="Century Gothic"/>
        </w:rPr>
        <w:t xml:space="preserve"> Negligenciar os efeitos da sazonalidade na gestão de estoques pode acarretar elevações de custo da ordem de 4,91%, segundo afirmam </w:t>
      </w:r>
      <w:proofErr w:type="spellStart"/>
      <w:r w:rsidR="00604A1E" w:rsidRPr="00FB2FDB">
        <w:rPr>
          <w:rFonts w:ascii="Century Gothic" w:hAnsi="Century Gothic"/>
        </w:rPr>
        <w:t>Ehrenthal</w:t>
      </w:r>
      <w:proofErr w:type="spellEnd"/>
      <w:r w:rsidR="00604A1E" w:rsidRPr="00FB2FDB">
        <w:rPr>
          <w:rFonts w:ascii="Century Gothic" w:hAnsi="Century Gothic"/>
        </w:rPr>
        <w:t xml:space="preserve">, </w:t>
      </w:r>
      <w:proofErr w:type="spellStart"/>
      <w:r w:rsidR="00604A1E" w:rsidRPr="00FB2FDB">
        <w:rPr>
          <w:rFonts w:ascii="Century Gothic" w:hAnsi="Century Gothic"/>
        </w:rPr>
        <w:t>Honhon</w:t>
      </w:r>
      <w:proofErr w:type="spellEnd"/>
      <w:r w:rsidR="00604A1E" w:rsidRPr="00FB2FDB">
        <w:rPr>
          <w:rFonts w:ascii="Century Gothic" w:hAnsi="Century Gothic"/>
        </w:rPr>
        <w:t xml:space="preserve"> e </w:t>
      </w:r>
      <w:r w:rsidR="00C52BA9">
        <w:rPr>
          <w:rFonts w:ascii="Century Gothic" w:hAnsi="Century Gothic"/>
        </w:rPr>
        <w:t xml:space="preserve">Van </w:t>
      </w:r>
      <w:proofErr w:type="spellStart"/>
      <w:r w:rsidR="00604A1E" w:rsidRPr="00FB2FDB">
        <w:rPr>
          <w:rFonts w:ascii="Century Gothic" w:hAnsi="Century Gothic"/>
        </w:rPr>
        <w:t>Woensel</w:t>
      </w:r>
      <w:proofErr w:type="spellEnd"/>
      <w:r w:rsidR="00604A1E" w:rsidRPr="00FB2FDB">
        <w:rPr>
          <w:rFonts w:ascii="Century Gothic" w:hAnsi="Century Gothic"/>
        </w:rPr>
        <w:t xml:space="preserve"> (2014).</w:t>
      </w:r>
    </w:p>
    <w:p w:rsidR="0020146C" w:rsidRPr="00FB2FDB" w:rsidRDefault="0020146C" w:rsidP="00FB2FDB">
      <w:pPr>
        <w:ind w:firstLine="709"/>
        <w:jc w:val="both"/>
        <w:rPr>
          <w:rFonts w:ascii="Century Gothic" w:hAnsi="Century Gothic"/>
        </w:rPr>
      </w:pPr>
      <w:r w:rsidRPr="00FB2FDB">
        <w:rPr>
          <w:rFonts w:ascii="Century Gothic" w:hAnsi="Century Gothic"/>
        </w:rPr>
        <w:t xml:space="preserve">Como </w:t>
      </w:r>
      <w:r w:rsidR="00695A33" w:rsidRPr="00FB2FDB">
        <w:rPr>
          <w:rFonts w:ascii="Century Gothic" w:hAnsi="Century Gothic"/>
        </w:rPr>
        <w:t>sugest</w:t>
      </w:r>
      <w:r w:rsidR="00C749B0" w:rsidRPr="00FB2FDB">
        <w:rPr>
          <w:rFonts w:ascii="Century Gothic" w:hAnsi="Century Gothic"/>
        </w:rPr>
        <w:t>ão</w:t>
      </w:r>
      <w:r w:rsidRPr="00FB2FDB">
        <w:rPr>
          <w:rFonts w:ascii="Century Gothic" w:hAnsi="Century Gothic"/>
        </w:rPr>
        <w:t xml:space="preserve"> </w:t>
      </w:r>
      <w:r w:rsidR="00E72C36" w:rsidRPr="00FB2FDB">
        <w:rPr>
          <w:rFonts w:ascii="Century Gothic" w:hAnsi="Century Gothic"/>
        </w:rPr>
        <w:t xml:space="preserve">de medidas que </w:t>
      </w:r>
      <w:r w:rsidR="00695A33" w:rsidRPr="00FB2FDB">
        <w:rPr>
          <w:rFonts w:ascii="Century Gothic" w:hAnsi="Century Gothic"/>
        </w:rPr>
        <w:t>permitam</w:t>
      </w:r>
      <w:r w:rsidR="00E72C36" w:rsidRPr="00FB2FDB">
        <w:rPr>
          <w:rFonts w:ascii="Century Gothic" w:hAnsi="Century Gothic"/>
        </w:rPr>
        <w:t xml:space="preserve"> </w:t>
      </w:r>
      <w:r w:rsidR="00C749B0" w:rsidRPr="00FB2FDB">
        <w:rPr>
          <w:rFonts w:ascii="Century Gothic" w:hAnsi="Century Gothic"/>
        </w:rPr>
        <w:t>mitigar</w:t>
      </w:r>
      <w:r w:rsidR="00E72C36" w:rsidRPr="00FB2FDB">
        <w:rPr>
          <w:rFonts w:ascii="Century Gothic" w:hAnsi="Century Gothic"/>
        </w:rPr>
        <w:t xml:space="preserve"> os efeitos da sazonalidade </w:t>
      </w:r>
      <w:r w:rsidR="004706E5" w:rsidRPr="00FB2FDB">
        <w:rPr>
          <w:rFonts w:ascii="Century Gothic" w:hAnsi="Century Gothic"/>
        </w:rPr>
        <w:t>na gestão</w:t>
      </w:r>
      <w:r w:rsidR="00E72C36" w:rsidRPr="00FB2FDB">
        <w:rPr>
          <w:rFonts w:ascii="Century Gothic" w:hAnsi="Century Gothic"/>
        </w:rPr>
        <w:t xml:space="preserve"> de estoques </w:t>
      </w:r>
      <w:r w:rsidR="004706E5" w:rsidRPr="00FB2FDB">
        <w:rPr>
          <w:rFonts w:ascii="Century Gothic" w:hAnsi="Century Gothic"/>
        </w:rPr>
        <w:t>e</w:t>
      </w:r>
      <w:r w:rsidR="00E72C36" w:rsidRPr="00FB2FDB">
        <w:rPr>
          <w:rFonts w:ascii="Century Gothic" w:hAnsi="Century Gothic"/>
        </w:rPr>
        <w:t xml:space="preserve"> na rentabilidade</w:t>
      </w:r>
      <w:r w:rsidR="00C749B0" w:rsidRPr="00FB2FDB">
        <w:rPr>
          <w:rFonts w:ascii="Century Gothic" w:hAnsi="Century Gothic"/>
        </w:rPr>
        <w:t xml:space="preserve"> tem-se,</w:t>
      </w:r>
      <w:r w:rsidR="00E72C36" w:rsidRPr="00FB2FDB">
        <w:rPr>
          <w:rFonts w:ascii="Century Gothic" w:hAnsi="Century Gothic"/>
        </w:rPr>
        <w:t xml:space="preserve"> </w:t>
      </w:r>
      <w:r w:rsidR="00C749B0" w:rsidRPr="00FB2FDB">
        <w:rPr>
          <w:rFonts w:ascii="Century Gothic" w:hAnsi="Century Gothic"/>
        </w:rPr>
        <w:t>e</w:t>
      </w:r>
      <w:r w:rsidR="00E72C36" w:rsidRPr="00FB2FDB">
        <w:rPr>
          <w:rFonts w:ascii="Century Gothic" w:hAnsi="Century Gothic"/>
        </w:rPr>
        <w:t>m primeiro lugar, a adoção de sistemas de gerenciamento integrado que incorporem</w:t>
      </w:r>
      <w:r w:rsidR="00695A33" w:rsidRPr="00FB2FDB">
        <w:rPr>
          <w:rFonts w:ascii="Century Gothic" w:hAnsi="Century Gothic"/>
        </w:rPr>
        <w:t>, basead</w:t>
      </w:r>
      <w:r w:rsidR="004706E5" w:rsidRPr="00FB2FDB">
        <w:rPr>
          <w:rFonts w:ascii="Century Gothic" w:hAnsi="Century Gothic"/>
        </w:rPr>
        <w:t>o</w:t>
      </w:r>
      <w:r w:rsidR="00695A33" w:rsidRPr="00FB2FDB">
        <w:rPr>
          <w:rFonts w:ascii="Century Gothic" w:hAnsi="Century Gothic"/>
        </w:rPr>
        <w:t>s em ferramentas estatísticas,</w:t>
      </w:r>
      <w:r w:rsidR="00E72C36" w:rsidRPr="00FB2FDB">
        <w:rPr>
          <w:rFonts w:ascii="Century Gothic" w:hAnsi="Century Gothic"/>
        </w:rPr>
        <w:t xml:space="preserve"> as flutuações de vendas e </w:t>
      </w:r>
      <w:r w:rsidR="00695A33" w:rsidRPr="00FB2FDB">
        <w:rPr>
          <w:rFonts w:ascii="Century Gothic" w:hAnsi="Century Gothic"/>
        </w:rPr>
        <w:t>possibilitem</w:t>
      </w:r>
      <w:r w:rsidR="00E72C36" w:rsidRPr="00FB2FDB">
        <w:rPr>
          <w:rFonts w:ascii="Century Gothic" w:hAnsi="Century Gothic"/>
        </w:rPr>
        <w:t xml:space="preserve"> </w:t>
      </w:r>
      <w:r w:rsidR="004706E5" w:rsidRPr="00FB2FDB">
        <w:rPr>
          <w:rFonts w:ascii="Century Gothic" w:hAnsi="Century Gothic"/>
        </w:rPr>
        <w:t>evitar</w:t>
      </w:r>
      <w:r w:rsidR="00E72C36" w:rsidRPr="00FB2FDB">
        <w:rPr>
          <w:rFonts w:ascii="Century Gothic" w:hAnsi="Century Gothic"/>
        </w:rPr>
        <w:t xml:space="preserve"> estoque</w:t>
      </w:r>
      <w:r w:rsidR="004706E5" w:rsidRPr="00FB2FDB">
        <w:rPr>
          <w:rFonts w:ascii="Century Gothic" w:hAnsi="Century Gothic"/>
        </w:rPr>
        <w:t>s excessivos de um lado</w:t>
      </w:r>
      <w:r w:rsidR="00E72C36" w:rsidRPr="00FB2FDB">
        <w:rPr>
          <w:rFonts w:ascii="Century Gothic" w:hAnsi="Century Gothic"/>
        </w:rPr>
        <w:t xml:space="preserve">, </w:t>
      </w:r>
      <w:r w:rsidR="004706E5" w:rsidRPr="00FB2FDB">
        <w:rPr>
          <w:rFonts w:ascii="Century Gothic" w:hAnsi="Century Gothic"/>
        </w:rPr>
        <w:t>ou, por outro lado,</w:t>
      </w:r>
      <w:r w:rsidR="00E72C36" w:rsidRPr="00FB2FDB">
        <w:rPr>
          <w:rFonts w:ascii="Century Gothic" w:hAnsi="Century Gothic"/>
        </w:rPr>
        <w:t xml:space="preserve"> a perda de vendas devido à falta de produto. Também atua nesse sentido, a realização de pesquisas de marketing que sejam capazes de antecipar com relativa precisão o comportamento da demanda. Caso a variação na produção ocorra devido </w:t>
      </w:r>
      <w:r w:rsidR="006332A1" w:rsidRPr="00FB2FDB">
        <w:rPr>
          <w:rFonts w:ascii="Century Gothic" w:hAnsi="Century Gothic"/>
        </w:rPr>
        <w:t xml:space="preserve">ao abastecimento errático de matérias primas, uma possível alternativa seria a efetivação de contratos de longo prazo junto aos fornecedores. </w:t>
      </w:r>
    </w:p>
    <w:p w:rsidR="004706E5" w:rsidRPr="00FB2FDB" w:rsidRDefault="004706E5" w:rsidP="00FB2FDB">
      <w:pPr>
        <w:ind w:firstLine="709"/>
        <w:jc w:val="both"/>
        <w:rPr>
          <w:rFonts w:ascii="Century Gothic" w:hAnsi="Century Gothic"/>
        </w:rPr>
      </w:pPr>
      <w:r w:rsidRPr="00FB2FDB">
        <w:rPr>
          <w:rFonts w:ascii="Century Gothic" w:hAnsi="Century Gothic"/>
        </w:rPr>
        <w:t>Como contribuições acadêmicas, pode-se listar inicialmente a proposição de uma temática relevante para as organizações, mas de certa forma negligenciada pela academia. Também nesse sentido, a verificação empírica da relação positiva entre sazonalidade e estoques e a relação negativa entre taxas de retorno e volumes de estoque.</w:t>
      </w:r>
    </w:p>
    <w:p w:rsidR="00604A1E" w:rsidRPr="00FB2FDB" w:rsidRDefault="00341349" w:rsidP="00FB2FDB">
      <w:pPr>
        <w:ind w:firstLine="709"/>
        <w:jc w:val="both"/>
        <w:rPr>
          <w:rFonts w:ascii="Century Gothic" w:hAnsi="Century Gothic"/>
        </w:rPr>
      </w:pPr>
      <w:r w:rsidRPr="00FB2FDB">
        <w:rPr>
          <w:rFonts w:ascii="Century Gothic" w:hAnsi="Century Gothic"/>
        </w:rPr>
        <w:t>Cabe destacar, por fim, algumas limitações da pesquisa. Em primeiro lugar, não foi possível avaliar diferenças segmento por segmento, devido a não disponibilidade de número suficiente de demonstrativos financeiros, o que impediu um maior refinamento dos resultados.</w:t>
      </w:r>
      <w:r w:rsidR="006332A1" w:rsidRPr="00FB2FDB">
        <w:rPr>
          <w:rFonts w:ascii="Century Gothic" w:hAnsi="Century Gothic"/>
        </w:rPr>
        <w:t xml:space="preserve"> </w:t>
      </w:r>
      <w:r w:rsidR="00604A1E" w:rsidRPr="00FB2FDB">
        <w:rPr>
          <w:rFonts w:ascii="Century Gothic" w:hAnsi="Century Gothic"/>
        </w:rPr>
        <w:t xml:space="preserve">Também não foi feita a análise do volume de investimento em capacidade produtiva relativamente ao investimento em estoques, tema sugerido por Bradley e </w:t>
      </w:r>
      <w:proofErr w:type="spellStart"/>
      <w:r w:rsidR="00604A1E" w:rsidRPr="00FB2FDB">
        <w:rPr>
          <w:rFonts w:ascii="Century Gothic" w:hAnsi="Century Gothic"/>
        </w:rPr>
        <w:t>Arntzen</w:t>
      </w:r>
      <w:proofErr w:type="spellEnd"/>
      <w:r w:rsidR="00604A1E" w:rsidRPr="00FB2FDB">
        <w:rPr>
          <w:rFonts w:ascii="Century Gothic" w:hAnsi="Century Gothic"/>
        </w:rPr>
        <w:t xml:space="preserve"> (1999).</w:t>
      </w:r>
    </w:p>
    <w:p w:rsidR="00341349" w:rsidRPr="00FB2FDB" w:rsidRDefault="00341349" w:rsidP="00FB2FDB">
      <w:pPr>
        <w:ind w:firstLine="709"/>
        <w:jc w:val="both"/>
        <w:rPr>
          <w:rFonts w:ascii="Century Gothic" w:hAnsi="Century Gothic"/>
        </w:rPr>
      </w:pPr>
      <w:r w:rsidRPr="00FB2FDB">
        <w:rPr>
          <w:rFonts w:ascii="Century Gothic" w:hAnsi="Century Gothic"/>
        </w:rPr>
        <w:t>Ademais, a utilização de dados internos, oriundos da contabilidade gerencial, poderia definir padrões específicos das empresas avaliadas, indicando com maior precisão características peculiares de cada uma, muitas vezes ditados por questões climáticas, culturais ou até mesmo da região na qual atuam.</w:t>
      </w:r>
      <w:r w:rsidR="00604A1E" w:rsidRPr="00FB2FDB">
        <w:rPr>
          <w:rFonts w:ascii="Century Gothic" w:hAnsi="Century Gothic"/>
        </w:rPr>
        <w:t xml:space="preserve"> </w:t>
      </w:r>
    </w:p>
    <w:p w:rsidR="00341349" w:rsidRPr="00FB2FDB" w:rsidRDefault="00341349" w:rsidP="00FB2FDB">
      <w:pPr>
        <w:ind w:firstLine="709"/>
        <w:jc w:val="both"/>
        <w:rPr>
          <w:rFonts w:ascii="Century Gothic" w:hAnsi="Century Gothic"/>
        </w:rPr>
      </w:pPr>
      <w:r w:rsidRPr="00FB2FDB">
        <w:rPr>
          <w:rFonts w:ascii="Century Gothic" w:hAnsi="Century Gothic"/>
        </w:rPr>
        <w:t>Como sugestões para pesquisas futuras, ficam aquelas relacionadas à superação das limitações apresentadas</w:t>
      </w:r>
      <w:r w:rsidR="00D82A15" w:rsidRPr="00FB2FDB">
        <w:rPr>
          <w:rFonts w:ascii="Century Gothic" w:hAnsi="Century Gothic"/>
        </w:rPr>
        <w:t>:</w:t>
      </w:r>
      <w:r w:rsidRPr="00FB2FDB">
        <w:rPr>
          <w:rFonts w:ascii="Century Gothic" w:hAnsi="Century Gothic"/>
        </w:rPr>
        <w:t xml:space="preserve"> ampliar a amostra, permitindo a análise de cada segmento separadamente</w:t>
      </w:r>
      <w:r w:rsidR="00D82A15" w:rsidRPr="00FB2FDB">
        <w:rPr>
          <w:rFonts w:ascii="Century Gothic" w:hAnsi="Century Gothic"/>
        </w:rPr>
        <w:t>;</w:t>
      </w:r>
      <w:r w:rsidRPr="00FB2FDB">
        <w:rPr>
          <w:rFonts w:ascii="Century Gothic" w:hAnsi="Century Gothic"/>
        </w:rPr>
        <w:t xml:space="preserve"> utilização de relatórios gerenciais</w:t>
      </w:r>
      <w:r w:rsidR="00604A1E" w:rsidRPr="00FB2FDB">
        <w:rPr>
          <w:rFonts w:ascii="Century Gothic" w:hAnsi="Century Gothic"/>
        </w:rPr>
        <w:t xml:space="preserve"> e avaliar o volume de investimento em capacidade produtiva e estoques. Uma outra opção seria pesquisar </w:t>
      </w:r>
      <w:r w:rsidR="00D82A15" w:rsidRPr="00FB2FDB">
        <w:rPr>
          <w:rFonts w:ascii="Century Gothic" w:hAnsi="Century Gothic"/>
        </w:rPr>
        <w:t>qual a estratégia de gerenciamento de estoques as empresas utilizam e se a negligência do fator sazonalidade de fato gera elevação de custos.</w:t>
      </w:r>
    </w:p>
    <w:p w:rsidR="00341349" w:rsidRPr="00FB2FDB" w:rsidRDefault="00341349" w:rsidP="00FB2FDB">
      <w:pPr>
        <w:ind w:firstLine="709"/>
        <w:jc w:val="both"/>
        <w:rPr>
          <w:rFonts w:ascii="Century Gothic" w:hAnsi="Century Gothic"/>
        </w:rPr>
      </w:pPr>
    </w:p>
    <w:p w:rsidR="00341349" w:rsidRPr="00FB2FDB" w:rsidRDefault="0011339F" w:rsidP="00FB2FDB">
      <w:pPr>
        <w:jc w:val="both"/>
        <w:rPr>
          <w:rFonts w:ascii="Century Gothic" w:hAnsi="Century Gothic"/>
          <w:b/>
          <w:lang w:val="en-US"/>
        </w:rPr>
      </w:pPr>
      <w:r w:rsidRPr="00FB2FDB">
        <w:rPr>
          <w:rFonts w:ascii="Century Gothic" w:hAnsi="Century Gothic"/>
          <w:b/>
          <w:lang w:val="en-US"/>
        </w:rPr>
        <w:t>REFERÊNCIAS</w:t>
      </w:r>
    </w:p>
    <w:p w:rsidR="00341349" w:rsidRPr="00FB2FDB" w:rsidRDefault="00341349" w:rsidP="0011339F">
      <w:pPr>
        <w:jc w:val="both"/>
        <w:rPr>
          <w:rFonts w:ascii="Century Gothic" w:hAnsi="Century Gothic"/>
          <w:lang w:val="en-US"/>
        </w:rPr>
      </w:pPr>
    </w:p>
    <w:p w:rsidR="00341349" w:rsidRPr="00FB2FDB" w:rsidRDefault="00C52BA9" w:rsidP="00FB2FDB">
      <w:pPr>
        <w:pStyle w:val="Textodenotaderodap"/>
        <w:spacing w:after="120"/>
        <w:jc w:val="both"/>
        <w:rPr>
          <w:rFonts w:ascii="Century Gothic" w:hAnsi="Century Gothic"/>
          <w:lang w:val="en-US"/>
        </w:rPr>
      </w:pPr>
      <w:r>
        <w:rPr>
          <w:rFonts w:ascii="Century Gothic" w:hAnsi="Century Gothic"/>
          <w:lang w:val="en-US"/>
        </w:rPr>
        <w:t>A</w:t>
      </w:r>
      <w:r w:rsidR="00341349" w:rsidRPr="00FB2FDB">
        <w:rPr>
          <w:rFonts w:ascii="Century Gothic" w:hAnsi="Century Gothic"/>
          <w:lang w:val="en-US"/>
        </w:rPr>
        <w:t xml:space="preserve">BERNATHY, F. H.; DUNLOP, J. T.; HAMMOND, J. H. e WEIL, D. Control your Inventory: in a world of lean retailing. Boston (USA): </w:t>
      </w:r>
      <w:r w:rsidR="00341349" w:rsidRPr="00FB2FDB">
        <w:rPr>
          <w:rFonts w:ascii="Century Gothic" w:hAnsi="Century Gothic"/>
          <w:i/>
          <w:lang w:val="en-US"/>
        </w:rPr>
        <w:t>Harvard Business Review</w:t>
      </w:r>
      <w:r w:rsidR="00341349" w:rsidRPr="00FB2FDB">
        <w:rPr>
          <w:rFonts w:ascii="Century Gothic" w:hAnsi="Century Gothic"/>
          <w:lang w:val="en-US"/>
        </w:rPr>
        <w:t>, Nov. / Dec. 2000.</w:t>
      </w:r>
    </w:p>
    <w:p w:rsidR="00341349" w:rsidRPr="00FB2FDB" w:rsidRDefault="00341349" w:rsidP="00FB2FDB">
      <w:pPr>
        <w:autoSpaceDE w:val="0"/>
        <w:autoSpaceDN w:val="0"/>
        <w:adjustRightInd w:val="0"/>
        <w:spacing w:after="120"/>
        <w:jc w:val="both"/>
        <w:rPr>
          <w:rFonts w:ascii="Century Gothic" w:hAnsi="Century Gothic"/>
          <w:sz w:val="20"/>
          <w:szCs w:val="20"/>
        </w:rPr>
      </w:pPr>
      <w:r w:rsidRPr="00FB2FDB">
        <w:rPr>
          <w:rFonts w:ascii="Century Gothic" w:hAnsi="Century Gothic"/>
          <w:sz w:val="20"/>
          <w:szCs w:val="20"/>
          <w:lang w:val="en-US"/>
        </w:rPr>
        <w:t>ÁNGULO. A.;  NACHTMANN H.. ; WALLER M</w:t>
      </w:r>
      <w:proofErr w:type="gramStart"/>
      <w:r w:rsidRPr="00FB2FDB">
        <w:rPr>
          <w:rFonts w:ascii="Century Gothic" w:hAnsi="Century Gothic"/>
          <w:sz w:val="20"/>
          <w:szCs w:val="20"/>
          <w:lang w:val="en-US"/>
        </w:rPr>
        <w:t>,A</w:t>
      </w:r>
      <w:proofErr w:type="gramEnd"/>
      <w:r w:rsidRPr="00FB2FDB">
        <w:rPr>
          <w:rFonts w:ascii="Century Gothic" w:hAnsi="Century Gothic"/>
          <w:sz w:val="20"/>
          <w:szCs w:val="20"/>
          <w:lang w:val="en-US"/>
        </w:rPr>
        <w:t xml:space="preserve">. </w:t>
      </w:r>
      <w:r w:rsidRPr="00FB2FDB">
        <w:rPr>
          <w:rFonts w:ascii="Century Gothic" w:hAnsi="Century Gothic"/>
          <w:i/>
          <w:sz w:val="20"/>
          <w:szCs w:val="20"/>
          <w:lang w:val="en-US"/>
        </w:rPr>
        <w:t>Supply Chain Information Sharing in a Vendor Managed Inventory Pa</w:t>
      </w:r>
      <w:r w:rsidR="009B5360" w:rsidRPr="00FB2FDB">
        <w:rPr>
          <w:rFonts w:ascii="Century Gothic" w:hAnsi="Century Gothic"/>
          <w:i/>
          <w:sz w:val="20"/>
          <w:szCs w:val="20"/>
          <w:lang w:val="en-US"/>
        </w:rPr>
        <w:t>r</w:t>
      </w:r>
      <w:r w:rsidRPr="00FB2FDB">
        <w:rPr>
          <w:rFonts w:ascii="Century Gothic" w:hAnsi="Century Gothic"/>
          <w:i/>
          <w:sz w:val="20"/>
          <w:szCs w:val="20"/>
          <w:lang w:val="en-US"/>
        </w:rPr>
        <w:t>tnership</w:t>
      </w:r>
      <w:r w:rsidRPr="00FB2FDB">
        <w:rPr>
          <w:rFonts w:ascii="Century Gothic" w:hAnsi="Century Gothic"/>
          <w:sz w:val="20"/>
          <w:szCs w:val="20"/>
          <w:lang w:val="en-US"/>
        </w:rPr>
        <w:t xml:space="preserve">.' </w:t>
      </w:r>
      <w:proofErr w:type="spellStart"/>
      <w:r w:rsidRPr="00FB2FDB">
        <w:rPr>
          <w:rFonts w:ascii="Century Gothic" w:hAnsi="Century Gothic"/>
          <w:sz w:val="20"/>
          <w:szCs w:val="20"/>
        </w:rPr>
        <w:t>Journal</w:t>
      </w:r>
      <w:proofErr w:type="spellEnd"/>
      <w:r w:rsidRPr="00FB2FDB">
        <w:rPr>
          <w:rFonts w:ascii="Century Gothic" w:hAnsi="Century Gothic"/>
          <w:sz w:val="20"/>
          <w:szCs w:val="20"/>
        </w:rPr>
        <w:t xml:space="preserve"> </w:t>
      </w:r>
      <w:proofErr w:type="spellStart"/>
      <w:r w:rsidRPr="00FB2FDB">
        <w:rPr>
          <w:rFonts w:ascii="Century Gothic" w:hAnsi="Century Gothic"/>
          <w:sz w:val="20"/>
          <w:szCs w:val="20"/>
        </w:rPr>
        <w:t>of</w:t>
      </w:r>
      <w:proofErr w:type="spellEnd"/>
      <w:r w:rsidRPr="00FB2FDB">
        <w:rPr>
          <w:rFonts w:ascii="Century Gothic" w:hAnsi="Century Gothic"/>
          <w:sz w:val="20"/>
          <w:szCs w:val="20"/>
        </w:rPr>
        <w:t xml:space="preserve"> Business </w:t>
      </w:r>
      <w:proofErr w:type="spellStart"/>
      <w:r w:rsidRPr="00FB2FDB">
        <w:rPr>
          <w:rFonts w:ascii="Century Gothic" w:hAnsi="Century Gothic"/>
          <w:sz w:val="20"/>
          <w:szCs w:val="20"/>
        </w:rPr>
        <w:t>Logis</w:t>
      </w:r>
      <w:r w:rsidR="009B5360" w:rsidRPr="00FB2FDB">
        <w:rPr>
          <w:rFonts w:ascii="Century Gothic" w:hAnsi="Century Gothic"/>
          <w:sz w:val="20"/>
          <w:szCs w:val="20"/>
        </w:rPr>
        <w:t>t</w:t>
      </w:r>
      <w:r w:rsidRPr="00FB2FDB">
        <w:rPr>
          <w:rFonts w:ascii="Century Gothic" w:hAnsi="Century Gothic"/>
          <w:sz w:val="20"/>
          <w:szCs w:val="20"/>
        </w:rPr>
        <w:t>ics</w:t>
      </w:r>
      <w:proofErr w:type="spellEnd"/>
      <w:r w:rsidRPr="00FB2FDB">
        <w:rPr>
          <w:rFonts w:ascii="Century Gothic" w:hAnsi="Century Gothic"/>
          <w:sz w:val="20"/>
          <w:szCs w:val="20"/>
        </w:rPr>
        <w:t>, Vol. 25. No. I. 2004. pp. 101-20.</w:t>
      </w:r>
    </w:p>
    <w:p w:rsidR="00341349" w:rsidRPr="00FB2FDB" w:rsidRDefault="00341349" w:rsidP="00FB2FDB">
      <w:pPr>
        <w:pStyle w:val="Textodenotaderodap"/>
        <w:spacing w:after="120"/>
        <w:jc w:val="both"/>
        <w:rPr>
          <w:rFonts w:ascii="Century Gothic" w:hAnsi="Century Gothic"/>
        </w:rPr>
      </w:pPr>
      <w:r w:rsidRPr="00FB2FDB">
        <w:rPr>
          <w:rFonts w:ascii="Century Gothic" w:hAnsi="Century Gothic"/>
          <w:noProof/>
        </w:rPr>
        <w:t xml:space="preserve">ARNOLD, J. R. T. </w:t>
      </w:r>
      <w:r w:rsidRPr="00FB2FDB">
        <w:rPr>
          <w:rFonts w:ascii="Century Gothic" w:hAnsi="Century Gothic"/>
          <w:bCs/>
          <w:i/>
          <w:noProof/>
        </w:rPr>
        <w:t>Administração de materiais</w:t>
      </w:r>
      <w:r w:rsidRPr="00FB2FDB">
        <w:rPr>
          <w:rFonts w:ascii="Century Gothic" w:hAnsi="Century Gothic"/>
          <w:noProof/>
        </w:rPr>
        <w:t>:</w:t>
      </w:r>
      <w:r w:rsidRPr="00FB2FDB">
        <w:rPr>
          <w:rFonts w:ascii="Century Gothic" w:hAnsi="Century Gothic"/>
        </w:rPr>
        <w:t xml:space="preserve"> </w:t>
      </w:r>
      <w:r w:rsidRPr="00FB2FDB">
        <w:rPr>
          <w:rFonts w:ascii="Century Gothic" w:hAnsi="Century Gothic"/>
          <w:noProof/>
        </w:rPr>
        <w:t>uma introdução.</w:t>
      </w:r>
      <w:r w:rsidRPr="00FB2FDB">
        <w:rPr>
          <w:rFonts w:ascii="Century Gothic" w:hAnsi="Century Gothic"/>
        </w:rPr>
        <w:t xml:space="preserve"> </w:t>
      </w:r>
      <w:r w:rsidRPr="00FB2FDB">
        <w:rPr>
          <w:rFonts w:ascii="Century Gothic" w:hAnsi="Century Gothic"/>
          <w:noProof/>
        </w:rPr>
        <w:t>São Paulo:</w:t>
      </w:r>
      <w:r w:rsidRPr="00FB2FDB">
        <w:rPr>
          <w:rFonts w:ascii="Century Gothic" w:hAnsi="Century Gothic"/>
        </w:rPr>
        <w:t xml:space="preserve"> </w:t>
      </w:r>
      <w:r w:rsidRPr="00FB2FDB">
        <w:rPr>
          <w:rFonts w:ascii="Century Gothic" w:hAnsi="Century Gothic"/>
          <w:noProof/>
        </w:rPr>
        <w:t>Atlas, 1999.</w:t>
      </w:r>
    </w:p>
    <w:p w:rsidR="00341349" w:rsidRPr="00FB2FDB" w:rsidRDefault="00341349" w:rsidP="00FB2FDB">
      <w:pPr>
        <w:spacing w:after="120"/>
        <w:jc w:val="both"/>
        <w:rPr>
          <w:rFonts w:ascii="Century Gothic" w:hAnsi="Century Gothic"/>
          <w:sz w:val="20"/>
          <w:szCs w:val="20"/>
        </w:rPr>
      </w:pPr>
      <w:r w:rsidRPr="00FB2FDB">
        <w:rPr>
          <w:rFonts w:ascii="Century Gothic" w:hAnsi="Century Gothic"/>
          <w:sz w:val="20"/>
          <w:szCs w:val="20"/>
        </w:rPr>
        <w:lastRenderedPageBreak/>
        <w:t xml:space="preserve">ASSAF NETO, Alexandre. </w:t>
      </w:r>
      <w:r w:rsidRPr="00FB2FDB">
        <w:rPr>
          <w:rFonts w:ascii="Century Gothic" w:hAnsi="Century Gothic"/>
          <w:i/>
          <w:sz w:val="20"/>
          <w:szCs w:val="20"/>
        </w:rPr>
        <w:t>Finanças Corporativas e Valor</w:t>
      </w:r>
      <w:r w:rsidRPr="00FB2FDB">
        <w:rPr>
          <w:rFonts w:ascii="Century Gothic" w:hAnsi="Century Gothic"/>
          <w:sz w:val="20"/>
          <w:szCs w:val="20"/>
        </w:rPr>
        <w:t>. São Paulo: Atlas, 2007.</w:t>
      </w:r>
    </w:p>
    <w:p w:rsidR="00341349" w:rsidRPr="00FB2FDB" w:rsidRDefault="00341349" w:rsidP="00FB2FDB">
      <w:pPr>
        <w:pStyle w:val="Recuodecorpodetexto2"/>
        <w:spacing w:line="240" w:lineRule="auto"/>
        <w:ind w:left="0"/>
        <w:jc w:val="both"/>
        <w:rPr>
          <w:rFonts w:ascii="Century Gothic" w:hAnsi="Century Gothic"/>
        </w:rPr>
      </w:pPr>
      <w:r w:rsidRPr="00FB2FDB">
        <w:rPr>
          <w:rFonts w:ascii="Century Gothic" w:hAnsi="Century Gothic"/>
        </w:rPr>
        <w:t xml:space="preserve">ASSAF NETO, A; SILVA, A. T. </w:t>
      </w:r>
      <w:r w:rsidRPr="00FB2FDB">
        <w:rPr>
          <w:rFonts w:ascii="Century Gothic" w:hAnsi="Century Gothic"/>
          <w:i/>
        </w:rPr>
        <w:t>Administração de Capital de Giro</w:t>
      </w:r>
      <w:r w:rsidRPr="00FB2FDB">
        <w:rPr>
          <w:rFonts w:ascii="Century Gothic" w:hAnsi="Century Gothic"/>
        </w:rPr>
        <w:t>. São Paulo: Atlas, 1997.</w:t>
      </w:r>
    </w:p>
    <w:p w:rsidR="00341349" w:rsidRPr="00FB2FDB" w:rsidRDefault="00341349" w:rsidP="00FB2FDB">
      <w:pPr>
        <w:autoSpaceDE w:val="0"/>
        <w:autoSpaceDN w:val="0"/>
        <w:adjustRightInd w:val="0"/>
        <w:spacing w:after="120"/>
        <w:jc w:val="both"/>
        <w:rPr>
          <w:rFonts w:ascii="Century Gothic" w:hAnsi="Century Gothic"/>
          <w:sz w:val="20"/>
          <w:szCs w:val="20"/>
          <w:lang w:val="en-US"/>
        </w:rPr>
      </w:pPr>
      <w:r w:rsidRPr="00FB2FDB">
        <w:rPr>
          <w:rFonts w:ascii="Century Gothic" w:hAnsi="Century Gothic"/>
          <w:sz w:val="20"/>
          <w:szCs w:val="20"/>
        </w:rPr>
        <w:t xml:space="preserve">BALLOU, R. H. </w:t>
      </w:r>
      <w:r w:rsidRPr="00FB2FDB">
        <w:rPr>
          <w:rFonts w:ascii="Century Gothic" w:hAnsi="Century Gothic"/>
          <w:i/>
          <w:iCs/>
          <w:sz w:val="20"/>
          <w:szCs w:val="20"/>
        </w:rPr>
        <w:t>Gerenciamento da cadeia de suprimentos: planejamento, organização e logística empresarial</w:t>
      </w:r>
      <w:r w:rsidRPr="00FB2FDB">
        <w:rPr>
          <w:rFonts w:ascii="Century Gothic" w:hAnsi="Century Gothic"/>
          <w:sz w:val="20"/>
          <w:szCs w:val="20"/>
        </w:rPr>
        <w:t xml:space="preserve">. </w:t>
      </w:r>
      <w:r w:rsidRPr="00FB2FDB">
        <w:rPr>
          <w:rFonts w:ascii="Century Gothic" w:hAnsi="Century Gothic"/>
          <w:sz w:val="20"/>
          <w:szCs w:val="20"/>
          <w:lang w:val="en-US"/>
        </w:rPr>
        <w:t>4.</w:t>
      </w:r>
      <w:r w:rsidR="0053630B">
        <w:rPr>
          <w:rFonts w:ascii="Century Gothic" w:hAnsi="Century Gothic"/>
          <w:sz w:val="20"/>
          <w:szCs w:val="20"/>
          <w:lang w:val="en-US"/>
        </w:rPr>
        <w:t xml:space="preserve"> </w:t>
      </w:r>
      <w:r w:rsidRPr="00FB2FDB">
        <w:rPr>
          <w:rFonts w:ascii="Century Gothic" w:hAnsi="Century Gothic"/>
          <w:sz w:val="20"/>
          <w:szCs w:val="20"/>
          <w:lang w:val="en-US"/>
        </w:rPr>
        <w:t>ed. Porto Alegre: Bookman, 2001.</w:t>
      </w:r>
    </w:p>
    <w:p w:rsidR="00610CE6" w:rsidRPr="00FB2FDB" w:rsidRDefault="00610CE6" w:rsidP="00FB2FDB">
      <w:pPr>
        <w:autoSpaceDE w:val="0"/>
        <w:autoSpaceDN w:val="0"/>
        <w:adjustRightInd w:val="0"/>
        <w:spacing w:after="120"/>
        <w:jc w:val="both"/>
        <w:rPr>
          <w:rFonts w:ascii="Century Gothic" w:hAnsi="Century Gothic"/>
          <w:sz w:val="20"/>
          <w:szCs w:val="20"/>
          <w:lang w:val="en-US"/>
        </w:rPr>
      </w:pPr>
      <w:r w:rsidRPr="00FB2FDB">
        <w:rPr>
          <w:rFonts w:ascii="Century Gothic" w:hAnsi="Century Gothic"/>
          <w:sz w:val="20"/>
          <w:szCs w:val="20"/>
          <w:lang w:val="en-US"/>
        </w:rPr>
        <w:t xml:space="preserve">BANERJEE, S., SHARMA, A. Inventory model for seasonal demand with option to change the market. Computer and Industrial Engineering, </w:t>
      </w:r>
      <w:r w:rsidR="004343EB" w:rsidRPr="00FB2FDB">
        <w:rPr>
          <w:rFonts w:ascii="Century Gothic" w:hAnsi="Century Gothic"/>
          <w:sz w:val="20"/>
          <w:szCs w:val="20"/>
          <w:lang w:val="en-US"/>
        </w:rPr>
        <w:t>v. 59, pp. 807-818, 2010.</w:t>
      </w:r>
    </w:p>
    <w:p w:rsidR="00341349" w:rsidRPr="00FB2FDB" w:rsidRDefault="00341349" w:rsidP="00FB2FDB">
      <w:pPr>
        <w:pStyle w:val="Recuodecorpodetexto2"/>
        <w:spacing w:line="240" w:lineRule="auto"/>
        <w:ind w:left="0"/>
        <w:jc w:val="both"/>
        <w:rPr>
          <w:rFonts w:ascii="Century Gothic" w:hAnsi="Century Gothic"/>
        </w:rPr>
      </w:pPr>
      <w:r w:rsidRPr="00FB2FDB">
        <w:rPr>
          <w:rFonts w:ascii="Century Gothic" w:hAnsi="Century Gothic"/>
          <w:lang w:val="en-US"/>
        </w:rPr>
        <w:t xml:space="preserve">BODIE, Z.; MERTON, R. C. </w:t>
      </w:r>
      <w:proofErr w:type="spellStart"/>
      <w:r w:rsidRPr="00FB2FDB">
        <w:rPr>
          <w:rFonts w:ascii="Century Gothic" w:hAnsi="Century Gothic"/>
          <w:i/>
          <w:lang w:val="en-US"/>
        </w:rPr>
        <w:t>Finanças</w:t>
      </w:r>
      <w:proofErr w:type="spellEnd"/>
      <w:r w:rsidRPr="00FB2FDB">
        <w:rPr>
          <w:rFonts w:ascii="Century Gothic" w:hAnsi="Century Gothic"/>
          <w:i/>
          <w:lang w:val="en-US"/>
        </w:rPr>
        <w:t>.</w:t>
      </w:r>
      <w:r w:rsidRPr="00FB2FDB">
        <w:rPr>
          <w:rFonts w:ascii="Century Gothic" w:hAnsi="Century Gothic"/>
          <w:lang w:val="en-US"/>
        </w:rPr>
        <w:t xml:space="preserve"> </w:t>
      </w:r>
      <w:r w:rsidRPr="00FB2FDB">
        <w:rPr>
          <w:rFonts w:ascii="Century Gothic" w:hAnsi="Century Gothic"/>
        </w:rPr>
        <w:t xml:space="preserve">Porto Alegre: </w:t>
      </w:r>
      <w:proofErr w:type="spellStart"/>
      <w:r w:rsidRPr="00FB2FDB">
        <w:rPr>
          <w:rFonts w:ascii="Century Gothic" w:hAnsi="Century Gothic"/>
        </w:rPr>
        <w:t>Bookman</w:t>
      </w:r>
      <w:proofErr w:type="spellEnd"/>
      <w:r w:rsidRPr="00FB2FDB">
        <w:rPr>
          <w:rFonts w:ascii="Century Gothic" w:hAnsi="Century Gothic"/>
        </w:rPr>
        <w:t>, 2002.</w:t>
      </w:r>
    </w:p>
    <w:p w:rsidR="00341349" w:rsidRPr="00FB2FDB" w:rsidRDefault="0076021E" w:rsidP="00FB2FDB">
      <w:pPr>
        <w:autoSpaceDE w:val="0"/>
        <w:autoSpaceDN w:val="0"/>
        <w:adjustRightInd w:val="0"/>
        <w:spacing w:after="120"/>
        <w:jc w:val="both"/>
        <w:rPr>
          <w:rFonts w:ascii="Century Gothic" w:hAnsi="Century Gothic"/>
          <w:sz w:val="20"/>
          <w:szCs w:val="20"/>
          <w:lang w:val="en-US"/>
        </w:rPr>
      </w:pPr>
      <w:r>
        <w:rPr>
          <w:rFonts w:ascii="Century Gothic" w:hAnsi="Century Gothic"/>
          <w:sz w:val="20"/>
          <w:szCs w:val="20"/>
        </w:rPr>
        <w:t xml:space="preserve">BOWERSOX, D. J., CLOSS, D. J. </w:t>
      </w:r>
      <w:r w:rsidR="00341349" w:rsidRPr="00FB2FDB">
        <w:rPr>
          <w:rFonts w:ascii="Century Gothic" w:hAnsi="Century Gothic"/>
          <w:i/>
          <w:iCs/>
          <w:sz w:val="20"/>
          <w:szCs w:val="20"/>
        </w:rPr>
        <w:t xml:space="preserve">Logística empresarial: o processo de integração da cadeia de suprimento. </w:t>
      </w:r>
      <w:r w:rsidR="00341349" w:rsidRPr="00FB2FDB">
        <w:rPr>
          <w:rFonts w:ascii="Century Gothic" w:hAnsi="Century Gothic"/>
          <w:sz w:val="20"/>
          <w:szCs w:val="20"/>
          <w:lang w:val="en-US"/>
        </w:rPr>
        <w:t>São Paulo: Atlas, 20</w:t>
      </w:r>
      <w:r>
        <w:rPr>
          <w:rFonts w:ascii="Century Gothic" w:hAnsi="Century Gothic"/>
          <w:sz w:val="20"/>
          <w:szCs w:val="20"/>
          <w:lang w:val="en-US"/>
        </w:rPr>
        <w:t>10</w:t>
      </w:r>
      <w:r w:rsidR="00341349" w:rsidRPr="00FB2FDB">
        <w:rPr>
          <w:rFonts w:ascii="Century Gothic" w:hAnsi="Century Gothic"/>
          <w:sz w:val="20"/>
          <w:szCs w:val="20"/>
          <w:lang w:val="en-US"/>
        </w:rPr>
        <w:t>.</w:t>
      </w:r>
    </w:p>
    <w:p w:rsidR="001B3E30" w:rsidRPr="00FB2FDB" w:rsidRDefault="001B3E30" w:rsidP="00FB2FDB">
      <w:pPr>
        <w:pStyle w:val="Recuodecorpodetexto2"/>
        <w:spacing w:line="240" w:lineRule="auto"/>
        <w:ind w:left="0"/>
        <w:jc w:val="both"/>
        <w:rPr>
          <w:rFonts w:ascii="Century Gothic" w:hAnsi="Century Gothic"/>
        </w:rPr>
      </w:pPr>
      <w:r w:rsidRPr="00FB2FDB">
        <w:rPr>
          <w:rFonts w:ascii="Century Gothic" w:hAnsi="Century Gothic"/>
          <w:lang w:val="en-US"/>
        </w:rPr>
        <w:t xml:space="preserve">BRADLEY, J. R., ARNTZEN, B. C. The simultaneous planning of production, capacity and inventory </w:t>
      </w:r>
      <w:r w:rsidR="006251A6" w:rsidRPr="00FB2FDB">
        <w:rPr>
          <w:rFonts w:ascii="Century Gothic" w:hAnsi="Century Gothic"/>
          <w:lang w:val="en-US"/>
        </w:rPr>
        <w:t xml:space="preserve">in seasonal demand environments. </w:t>
      </w:r>
      <w:proofErr w:type="spellStart"/>
      <w:r w:rsidR="006251A6" w:rsidRPr="00FB2FDB">
        <w:rPr>
          <w:rFonts w:ascii="Century Gothic" w:hAnsi="Century Gothic"/>
          <w:i/>
        </w:rPr>
        <w:t>Operation</w:t>
      </w:r>
      <w:proofErr w:type="spellEnd"/>
      <w:r w:rsidR="006251A6" w:rsidRPr="00FB2FDB">
        <w:rPr>
          <w:rFonts w:ascii="Century Gothic" w:hAnsi="Century Gothic"/>
          <w:i/>
        </w:rPr>
        <w:t xml:space="preserve"> </w:t>
      </w:r>
      <w:proofErr w:type="spellStart"/>
      <w:r w:rsidR="006251A6" w:rsidRPr="00FB2FDB">
        <w:rPr>
          <w:rFonts w:ascii="Century Gothic" w:hAnsi="Century Gothic"/>
          <w:i/>
        </w:rPr>
        <w:t>Research</w:t>
      </w:r>
      <w:proofErr w:type="spellEnd"/>
      <w:r w:rsidR="006251A6" w:rsidRPr="00FB2FDB">
        <w:rPr>
          <w:rFonts w:ascii="Century Gothic" w:hAnsi="Century Gothic"/>
        </w:rPr>
        <w:t>, v. 47, n. 6, pp. 795-806, 1999.</w:t>
      </w:r>
      <w:r w:rsidRPr="00FB2FDB">
        <w:rPr>
          <w:rFonts w:ascii="Century Gothic" w:hAnsi="Century Gothic"/>
        </w:rPr>
        <w:t xml:space="preserve"> </w:t>
      </w:r>
    </w:p>
    <w:p w:rsidR="00341349" w:rsidRPr="00FB2FDB" w:rsidRDefault="00341349" w:rsidP="00FB2FDB">
      <w:pPr>
        <w:pStyle w:val="Recuodecorpodetexto2"/>
        <w:spacing w:line="240" w:lineRule="auto"/>
        <w:ind w:left="0"/>
        <w:jc w:val="both"/>
        <w:rPr>
          <w:rFonts w:ascii="Century Gothic" w:hAnsi="Century Gothic"/>
        </w:rPr>
      </w:pPr>
      <w:r w:rsidRPr="00FB2FDB">
        <w:rPr>
          <w:rFonts w:ascii="Century Gothic" w:hAnsi="Century Gothic"/>
        </w:rPr>
        <w:t xml:space="preserve">BRAGA, </w:t>
      </w:r>
      <w:proofErr w:type="gramStart"/>
      <w:r w:rsidRPr="00FB2FDB">
        <w:rPr>
          <w:rFonts w:ascii="Century Gothic" w:hAnsi="Century Gothic"/>
        </w:rPr>
        <w:t>Roberto .</w:t>
      </w:r>
      <w:proofErr w:type="gramEnd"/>
      <w:r w:rsidRPr="00FB2FDB">
        <w:rPr>
          <w:rFonts w:ascii="Century Gothic" w:hAnsi="Century Gothic"/>
        </w:rPr>
        <w:t xml:space="preserve"> </w:t>
      </w:r>
      <w:r w:rsidRPr="00FB2FDB">
        <w:rPr>
          <w:rFonts w:ascii="Century Gothic" w:hAnsi="Century Gothic"/>
          <w:i/>
        </w:rPr>
        <w:t>Fundamentos e Técnicas de Administração Financeira.</w:t>
      </w:r>
      <w:r w:rsidRPr="00FB2FDB">
        <w:rPr>
          <w:rFonts w:ascii="Century Gothic" w:hAnsi="Century Gothic"/>
        </w:rPr>
        <w:t xml:space="preserve"> São Paulo: Atlas, 1989.</w:t>
      </w:r>
    </w:p>
    <w:p w:rsidR="00341349" w:rsidRPr="00FB2FDB" w:rsidRDefault="00341349" w:rsidP="00FB2FDB">
      <w:pPr>
        <w:pStyle w:val="Textodenotaderodap"/>
        <w:spacing w:after="120"/>
        <w:jc w:val="both"/>
        <w:rPr>
          <w:rFonts w:ascii="Century Gothic" w:hAnsi="Century Gothic"/>
        </w:rPr>
      </w:pPr>
      <w:r w:rsidRPr="00FB2FDB">
        <w:rPr>
          <w:rFonts w:ascii="Century Gothic" w:hAnsi="Century Gothic"/>
          <w:noProof/>
        </w:rPr>
        <w:t xml:space="preserve">BRANDT, S. A. </w:t>
      </w:r>
      <w:r w:rsidRPr="00FB2FDB">
        <w:rPr>
          <w:rFonts w:ascii="Century Gothic" w:hAnsi="Century Gothic"/>
          <w:bCs/>
          <w:i/>
          <w:noProof/>
        </w:rPr>
        <w:t>Comercialização agrícola</w:t>
      </w:r>
      <w:r w:rsidRPr="00FB2FDB">
        <w:rPr>
          <w:rFonts w:ascii="Century Gothic" w:hAnsi="Century Gothic"/>
          <w:noProof/>
        </w:rPr>
        <w:t>.</w:t>
      </w:r>
      <w:r w:rsidRPr="00FB2FDB">
        <w:rPr>
          <w:rFonts w:ascii="Century Gothic" w:hAnsi="Century Gothic"/>
        </w:rPr>
        <w:t xml:space="preserve"> </w:t>
      </w:r>
      <w:r w:rsidRPr="00FB2FDB">
        <w:rPr>
          <w:rFonts w:ascii="Century Gothic" w:hAnsi="Century Gothic"/>
          <w:noProof/>
        </w:rPr>
        <w:t>Piracicaba:</w:t>
      </w:r>
      <w:r w:rsidRPr="00FB2FDB">
        <w:rPr>
          <w:rFonts w:ascii="Century Gothic" w:hAnsi="Century Gothic"/>
        </w:rPr>
        <w:t xml:space="preserve"> </w:t>
      </w:r>
      <w:r w:rsidRPr="00FB2FDB">
        <w:rPr>
          <w:rFonts w:ascii="Century Gothic" w:hAnsi="Century Gothic"/>
          <w:noProof/>
        </w:rPr>
        <w:t>Livroceres, 1980.</w:t>
      </w:r>
    </w:p>
    <w:p w:rsidR="00341349" w:rsidRPr="00FB2FDB" w:rsidRDefault="00341349" w:rsidP="00FB2FDB">
      <w:pPr>
        <w:spacing w:after="120"/>
        <w:jc w:val="both"/>
        <w:rPr>
          <w:rFonts w:ascii="Century Gothic" w:hAnsi="Century Gothic"/>
          <w:sz w:val="20"/>
          <w:szCs w:val="20"/>
        </w:rPr>
      </w:pPr>
      <w:r w:rsidRPr="00FB2FDB">
        <w:rPr>
          <w:rFonts w:ascii="Century Gothic" w:hAnsi="Century Gothic"/>
          <w:sz w:val="20"/>
          <w:szCs w:val="20"/>
        </w:rPr>
        <w:t xml:space="preserve">BREALEY, R. </w:t>
      </w:r>
      <w:proofErr w:type="gramStart"/>
      <w:r w:rsidRPr="00FB2FDB">
        <w:rPr>
          <w:rFonts w:ascii="Century Gothic" w:hAnsi="Century Gothic"/>
          <w:sz w:val="20"/>
          <w:szCs w:val="20"/>
        </w:rPr>
        <w:t>A. ,</w:t>
      </w:r>
      <w:proofErr w:type="gramEnd"/>
      <w:r w:rsidRPr="00FB2FDB">
        <w:rPr>
          <w:rFonts w:ascii="Century Gothic" w:hAnsi="Century Gothic"/>
          <w:sz w:val="20"/>
          <w:szCs w:val="20"/>
        </w:rPr>
        <w:t xml:space="preserve"> MYERS, S.C. </w:t>
      </w:r>
      <w:r w:rsidRPr="00FB2FDB">
        <w:rPr>
          <w:rFonts w:ascii="Century Gothic" w:hAnsi="Century Gothic"/>
          <w:i/>
          <w:sz w:val="20"/>
          <w:szCs w:val="20"/>
        </w:rPr>
        <w:t>Princípios de Finanças Empresariais</w:t>
      </w:r>
      <w:r w:rsidRPr="00FB2FDB">
        <w:rPr>
          <w:rFonts w:ascii="Century Gothic" w:hAnsi="Century Gothic"/>
          <w:sz w:val="20"/>
          <w:szCs w:val="20"/>
        </w:rPr>
        <w:t>. Portugal: Ed. McGraw-Hill, 1992.</w:t>
      </w:r>
    </w:p>
    <w:p w:rsidR="00341349" w:rsidRPr="00FB2FDB" w:rsidRDefault="00341349" w:rsidP="00FB2FDB">
      <w:pPr>
        <w:spacing w:after="120"/>
        <w:jc w:val="both"/>
        <w:rPr>
          <w:rFonts w:ascii="Century Gothic" w:hAnsi="Century Gothic"/>
          <w:sz w:val="20"/>
          <w:szCs w:val="20"/>
          <w:lang w:val="en-GB"/>
        </w:rPr>
      </w:pPr>
      <w:r w:rsidRPr="00FB2FDB">
        <w:rPr>
          <w:rFonts w:ascii="Century Gothic" w:hAnsi="Century Gothic"/>
          <w:sz w:val="20"/>
          <w:szCs w:val="20"/>
        </w:rPr>
        <w:t xml:space="preserve">BRIGHAM, Eugene F.; HOUSTON, Joel F. </w:t>
      </w:r>
      <w:r w:rsidRPr="00FB2FDB">
        <w:rPr>
          <w:rFonts w:ascii="Century Gothic" w:hAnsi="Century Gothic"/>
          <w:i/>
          <w:sz w:val="20"/>
          <w:szCs w:val="20"/>
        </w:rPr>
        <w:t>Fundamentos da moderna administração financeira</w:t>
      </w:r>
      <w:r w:rsidRPr="00FB2FDB">
        <w:rPr>
          <w:rFonts w:ascii="Century Gothic" w:hAnsi="Century Gothic"/>
          <w:sz w:val="20"/>
          <w:szCs w:val="20"/>
        </w:rPr>
        <w:t xml:space="preserve">. </w:t>
      </w:r>
      <w:r w:rsidRPr="00FB2FDB">
        <w:rPr>
          <w:rFonts w:ascii="Century Gothic" w:hAnsi="Century Gothic"/>
          <w:sz w:val="20"/>
          <w:szCs w:val="20"/>
          <w:lang w:val="en-GB"/>
        </w:rPr>
        <w:t>Rio de Janeiro: Campus, 2004.</w:t>
      </w:r>
    </w:p>
    <w:p w:rsidR="008A4607" w:rsidRPr="00FB2FDB" w:rsidRDefault="00F061CB" w:rsidP="00FB2FDB">
      <w:pPr>
        <w:spacing w:after="120"/>
        <w:jc w:val="both"/>
        <w:rPr>
          <w:rFonts w:ascii="Century Gothic" w:hAnsi="Century Gothic"/>
          <w:sz w:val="20"/>
          <w:szCs w:val="20"/>
          <w:lang w:val="en-GB"/>
        </w:rPr>
      </w:pPr>
      <w:r w:rsidRPr="00FB2FDB">
        <w:rPr>
          <w:rFonts w:ascii="Century Gothic" w:hAnsi="Century Gothic"/>
          <w:sz w:val="20"/>
          <w:szCs w:val="20"/>
          <w:lang w:val="en-GB"/>
        </w:rPr>
        <w:t xml:space="preserve">CARPENTER, Robert E.; LEVY, Daniel. Seasonal Cycles, Business Cycles, and the </w:t>
      </w:r>
      <w:proofErr w:type="spellStart"/>
      <w:r w:rsidRPr="00FB2FDB">
        <w:rPr>
          <w:rFonts w:ascii="Century Gothic" w:hAnsi="Century Gothic"/>
          <w:sz w:val="20"/>
          <w:szCs w:val="20"/>
          <w:lang w:val="en-GB"/>
        </w:rPr>
        <w:t>Comovement</w:t>
      </w:r>
      <w:proofErr w:type="spellEnd"/>
      <w:r w:rsidRPr="00FB2FDB">
        <w:rPr>
          <w:rFonts w:ascii="Century Gothic" w:hAnsi="Century Gothic"/>
          <w:sz w:val="20"/>
          <w:szCs w:val="20"/>
          <w:lang w:val="en-GB"/>
        </w:rPr>
        <w:t xml:space="preserve"> of Inventory Investment and Output. </w:t>
      </w:r>
      <w:r w:rsidRPr="00FB2FDB">
        <w:rPr>
          <w:rFonts w:ascii="Century Gothic" w:hAnsi="Century Gothic"/>
          <w:i/>
          <w:sz w:val="20"/>
          <w:szCs w:val="20"/>
          <w:lang w:val="en-GB"/>
        </w:rPr>
        <w:t>Journal of Money, Credit, and Banking</w:t>
      </w:r>
      <w:r w:rsidRPr="00FB2FDB">
        <w:rPr>
          <w:rFonts w:ascii="Century Gothic" w:hAnsi="Century Gothic"/>
          <w:sz w:val="20"/>
          <w:szCs w:val="20"/>
          <w:lang w:val="en-GB"/>
        </w:rPr>
        <w:t xml:space="preserve">, v. 30, n. </w:t>
      </w:r>
      <w:proofErr w:type="gramStart"/>
      <w:r w:rsidRPr="00FB2FDB">
        <w:rPr>
          <w:rFonts w:ascii="Century Gothic" w:hAnsi="Century Gothic"/>
          <w:sz w:val="20"/>
          <w:szCs w:val="20"/>
          <w:lang w:val="en-GB"/>
        </w:rPr>
        <w:t>3</w:t>
      </w:r>
      <w:proofErr w:type="gramEnd"/>
      <w:r w:rsidRPr="00FB2FDB">
        <w:rPr>
          <w:rFonts w:ascii="Century Gothic" w:hAnsi="Century Gothic"/>
          <w:sz w:val="20"/>
          <w:szCs w:val="20"/>
          <w:lang w:val="en-GB"/>
        </w:rPr>
        <w:t xml:space="preserve"> (August 1998, Part 1).</w:t>
      </w:r>
      <w:r w:rsidR="008A4607" w:rsidRPr="00FB2FDB">
        <w:rPr>
          <w:rFonts w:ascii="Century Gothic" w:hAnsi="Century Gothic"/>
          <w:sz w:val="20"/>
          <w:szCs w:val="20"/>
          <w:lang w:val="en-GB"/>
        </w:rPr>
        <w:t xml:space="preserve"> </w:t>
      </w:r>
    </w:p>
    <w:p w:rsidR="008A4607" w:rsidRPr="00FB2FDB" w:rsidRDefault="008A4607" w:rsidP="00FB2FDB">
      <w:pPr>
        <w:spacing w:after="120"/>
        <w:jc w:val="both"/>
        <w:rPr>
          <w:rFonts w:ascii="Century Gothic" w:hAnsi="Century Gothic"/>
          <w:sz w:val="20"/>
          <w:szCs w:val="20"/>
          <w:lang w:val="en-GB"/>
        </w:rPr>
      </w:pPr>
      <w:r w:rsidRPr="00FB2FDB">
        <w:rPr>
          <w:rFonts w:ascii="Century Gothic" w:hAnsi="Century Gothic"/>
          <w:sz w:val="20"/>
          <w:szCs w:val="20"/>
          <w:lang w:val="en-GB"/>
        </w:rPr>
        <w:t xml:space="preserve">CARPENTER, Robert E.; FAZZARI, Steven M.; PETERSEN, Bruce </w:t>
      </w:r>
      <w:proofErr w:type="gramStart"/>
      <w:r w:rsidRPr="00FB2FDB">
        <w:rPr>
          <w:rFonts w:ascii="Century Gothic" w:hAnsi="Century Gothic"/>
          <w:sz w:val="20"/>
          <w:szCs w:val="20"/>
          <w:lang w:val="en-GB"/>
        </w:rPr>
        <w:t>C..</w:t>
      </w:r>
      <w:proofErr w:type="gramEnd"/>
      <w:r w:rsidRPr="00FB2FDB">
        <w:rPr>
          <w:rFonts w:ascii="Century Gothic" w:hAnsi="Century Gothic"/>
          <w:sz w:val="20"/>
          <w:szCs w:val="20"/>
          <w:lang w:val="en-GB"/>
        </w:rPr>
        <w:t xml:space="preserve"> Inventory Investment, Internal-Finance Fluctuations </w:t>
      </w:r>
      <w:proofErr w:type="gramStart"/>
      <w:r w:rsidRPr="00FB2FDB">
        <w:rPr>
          <w:rFonts w:ascii="Century Gothic" w:hAnsi="Century Gothic"/>
          <w:sz w:val="20"/>
          <w:szCs w:val="20"/>
          <w:lang w:val="en-GB"/>
        </w:rPr>
        <w:t>and  the</w:t>
      </w:r>
      <w:proofErr w:type="gramEnd"/>
      <w:r w:rsidRPr="00FB2FDB">
        <w:rPr>
          <w:rFonts w:ascii="Century Gothic" w:hAnsi="Century Gothic"/>
          <w:sz w:val="20"/>
          <w:szCs w:val="20"/>
          <w:lang w:val="en-GB"/>
        </w:rPr>
        <w:t xml:space="preserve"> Business Cycle. Brooking Papers on Economic Activity, 1994.</w:t>
      </w:r>
    </w:p>
    <w:p w:rsidR="00F061CB" w:rsidRPr="00FB2FDB" w:rsidRDefault="00F061CB" w:rsidP="00FB2FDB">
      <w:pPr>
        <w:spacing w:after="120"/>
        <w:jc w:val="both"/>
        <w:rPr>
          <w:rFonts w:ascii="Century Gothic" w:hAnsi="Century Gothic"/>
          <w:sz w:val="20"/>
          <w:szCs w:val="20"/>
        </w:rPr>
      </w:pPr>
      <w:r w:rsidRPr="00FB2FDB">
        <w:rPr>
          <w:rFonts w:ascii="Century Gothic" w:hAnsi="Century Gothic"/>
          <w:sz w:val="20"/>
          <w:szCs w:val="20"/>
          <w:lang w:val="en-GB"/>
        </w:rPr>
        <w:t xml:space="preserve">CECCHETTI, Stephen G.; KASHYAP; Anil K; WILCOX, David W. Interactions between the Seasonal and Business Cycles in Production and Inventories. </w:t>
      </w:r>
      <w:r w:rsidRPr="00FB2FDB">
        <w:rPr>
          <w:rFonts w:ascii="Century Gothic" w:hAnsi="Century Gothic"/>
          <w:i/>
          <w:sz w:val="20"/>
          <w:szCs w:val="20"/>
        </w:rPr>
        <w:t xml:space="preserve">The American </w:t>
      </w:r>
      <w:proofErr w:type="spellStart"/>
      <w:r w:rsidRPr="00FB2FDB">
        <w:rPr>
          <w:rFonts w:ascii="Century Gothic" w:hAnsi="Century Gothic"/>
          <w:i/>
          <w:sz w:val="20"/>
          <w:szCs w:val="20"/>
        </w:rPr>
        <w:t>Economic</w:t>
      </w:r>
      <w:proofErr w:type="spellEnd"/>
      <w:r w:rsidRPr="00FB2FDB">
        <w:rPr>
          <w:rFonts w:ascii="Century Gothic" w:hAnsi="Century Gothic"/>
          <w:i/>
          <w:sz w:val="20"/>
          <w:szCs w:val="20"/>
        </w:rPr>
        <w:t xml:space="preserve"> </w:t>
      </w:r>
      <w:proofErr w:type="spellStart"/>
      <w:r w:rsidRPr="00FB2FDB">
        <w:rPr>
          <w:rFonts w:ascii="Century Gothic" w:hAnsi="Century Gothic"/>
          <w:i/>
          <w:sz w:val="20"/>
          <w:szCs w:val="20"/>
        </w:rPr>
        <w:t>Review</w:t>
      </w:r>
      <w:proofErr w:type="spellEnd"/>
      <w:r w:rsidRPr="00FB2FDB">
        <w:rPr>
          <w:rFonts w:ascii="Century Gothic" w:hAnsi="Century Gothic"/>
          <w:sz w:val="20"/>
          <w:szCs w:val="20"/>
        </w:rPr>
        <w:t xml:space="preserve">, v. 87, n. 5, </w:t>
      </w:r>
      <w:proofErr w:type="spellStart"/>
      <w:r w:rsidRPr="00FB2FDB">
        <w:rPr>
          <w:rFonts w:ascii="Century Gothic" w:hAnsi="Century Gothic"/>
          <w:sz w:val="20"/>
          <w:szCs w:val="20"/>
        </w:rPr>
        <w:t>December</w:t>
      </w:r>
      <w:proofErr w:type="spellEnd"/>
      <w:r w:rsidRPr="00FB2FDB">
        <w:rPr>
          <w:rFonts w:ascii="Century Gothic" w:hAnsi="Century Gothic"/>
          <w:sz w:val="20"/>
          <w:szCs w:val="20"/>
        </w:rPr>
        <w:t>, 1997.</w:t>
      </w:r>
    </w:p>
    <w:p w:rsidR="00341349" w:rsidRPr="00FB2FDB" w:rsidRDefault="00341349" w:rsidP="00FB2FDB">
      <w:pPr>
        <w:spacing w:after="120"/>
        <w:jc w:val="both"/>
        <w:rPr>
          <w:rFonts w:ascii="Century Gothic" w:hAnsi="Century Gothic"/>
          <w:sz w:val="20"/>
          <w:szCs w:val="20"/>
        </w:rPr>
      </w:pPr>
      <w:r w:rsidRPr="00FB2FDB">
        <w:rPr>
          <w:rFonts w:ascii="Century Gothic" w:hAnsi="Century Gothic"/>
          <w:sz w:val="20"/>
          <w:szCs w:val="20"/>
        </w:rPr>
        <w:t xml:space="preserve">COLLIS, J e HUSSEY, R. </w:t>
      </w:r>
      <w:r w:rsidRPr="00FB2FDB">
        <w:rPr>
          <w:rFonts w:ascii="Century Gothic" w:hAnsi="Century Gothic"/>
          <w:i/>
          <w:sz w:val="20"/>
          <w:szCs w:val="20"/>
        </w:rPr>
        <w:t>Pesquisa em administração</w:t>
      </w:r>
      <w:r w:rsidRPr="00FB2FDB">
        <w:rPr>
          <w:rFonts w:ascii="Century Gothic" w:hAnsi="Century Gothic"/>
          <w:sz w:val="20"/>
          <w:szCs w:val="20"/>
        </w:rPr>
        <w:t xml:space="preserve">. Porto Alegre: </w:t>
      </w:r>
      <w:proofErr w:type="spellStart"/>
      <w:r w:rsidRPr="00FB2FDB">
        <w:rPr>
          <w:rFonts w:ascii="Century Gothic" w:hAnsi="Century Gothic"/>
          <w:sz w:val="20"/>
          <w:szCs w:val="20"/>
        </w:rPr>
        <w:t>Bookman</w:t>
      </w:r>
      <w:proofErr w:type="spellEnd"/>
      <w:r w:rsidRPr="00FB2FDB">
        <w:rPr>
          <w:rFonts w:ascii="Century Gothic" w:hAnsi="Century Gothic"/>
          <w:sz w:val="20"/>
          <w:szCs w:val="20"/>
        </w:rPr>
        <w:t xml:space="preserve">, 2005 </w:t>
      </w:r>
    </w:p>
    <w:p w:rsidR="00341349" w:rsidRPr="00FB2FDB" w:rsidRDefault="00341349" w:rsidP="00FB2FDB">
      <w:pPr>
        <w:pStyle w:val="Textodenotaderodap"/>
        <w:spacing w:after="120"/>
        <w:jc w:val="both"/>
        <w:rPr>
          <w:rFonts w:ascii="Century Gothic" w:hAnsi="Century Gothic"/>
        </w:rPr>
      </w:pPr>
      <w:r w:rsidRPr="00FB2FDB">
        <w:rPr>
          <w:rFonts w:ascii="Century Gothic" w:hAnsi="Century Gothic"/>
          <w:noProof/>
        </w:rPr>
        <w:t>CONJUNTURA ECONÔMICA.</w:t>
      </w:r>
      <w:r w:rsidRPr="00FB2FDB">
        <w:rPr>
          <w:rFonts w:ascii="Century Gothic" w:hAnsi="Century Gothic"/>
        </w:rPr>
        <w:t xml:space="preserve"> </w:t>
      </w:r>
      <w:r w:rsidRPr="00FB2FDB">
        <w:rPr>
          <w:rFonts w:ascii="Century Gothic" w:hAnsi="Century Gothic"/>
          <w:noProof/>
        </w:rPr>
        <w:t>500 maiores.</w:t>
      </w:r>
      <w:r w:rsidRPr="00FB2FDB">
        <w:rPr>
          <w:rFonts w:ascii="Century Gothic" w:hAnsi="Century Gothic"/>
        </w:rPr>
        <w:t xml:space="preserve"> </w:t>
      </w:r>
      <w:r w:rsidRPr="00FB2FDB">
        <w:rPr>
          <w:rFonts w:ascii="Century Gothic" w:hAnsi="Century Gothic"/>
          <w:noProof/>
        </w:rPr>
        <w:t>Rio de Janeiro:</w:t>
      </w:r>
      <w:r w:rsidRPr="00FB2FDB">
        <w:rPr>
          <w:rFonts w:ascii="Century Gothic" w:hAnsi="Century Gothic"/>
        </w:rPr>
        <w:t xml:space="preserve"> </w:t>
      </w:r>
      <w:r w:rsidRPr="00FB2FDB">
        <w:rPr>
          <w:rFonts w:ascii="Century Gothic" w:hAnsi="Century Gothic"/>
          <w:noProof/>
        </w:rPr>
        <w:t>Fundação Getúlio Vargas, 2000-2010.</w:t>
      </w:r>
    </w:p>
    <w:p w:rsidR="00341349" w:rsidRPr="00FB2FDB" w:rsidRDefault="00341349" w:rsidP="00FB2FDB">
      <w:pPr>
        <w:autoSpaceDE w:val="0"/>
        <w:autoSpaceDN w:val="0"/>
        <w:adjustRightInd w:val="0"/>
        <w:spacing w:after="120"/>
        <w:jc w:val="both"/>
        <w:rPr>
          <w:rFonts w:ascii="Century Gothic" w:hAnsi="Century Gothic"/>
          <w:sz w:val="20"/>
          <w:szCs w:val="20"/>
          <w:lang w:val="en-US"/>
        </w:rPr>
      </w:pPr>
      <w:r w:rsidRPr="00FB2FDB">
        <w:rPr>
          <w:rFonts w:ascii="Century Gothic" w:hAnsi="Century Gothic"/>
          <w:sz w:val="20"/>
          <w:szCs w:val="20"/>
        </w:rPr>
        <w:t xml:space="preserve">CORRÊA, Henrique L.; CORRÊA Carlos A. </w:t>
      </w:r>
      <w:r w:rsidRPr="00FB2FDB">
        <w:rPr>
          <w:rFonts w:ascii="Century Gothic" w:hAnsi="Century Gothic"/>
          <w:i/>
          <w:sz w:val="20"/>
          <w:szCs w:val="20"/>
        </w:rPr>
        <w:t>Administração de Produção e de Operações</w:t>
      </w:r>
      <w:r w:rsidRPr="00FB2FDB">
        <w:rPr>
          <w:rFonts w:ascii="Century Gothic" w:hAnsi="Century Gothic"/>
          <w:sz w:val="20"/>
          <w:szCs w:val="20"/>
        </w:rPr>
        <w:t xml:space="preserve">. </w:t>
      </w:r>
      <w:r w:rsidRPr="00FB2FDB">
        <w:rPr>
          <w:rFonts w:ascii="Century Gothic" w:hAnsi="Century Gothic"/>
          <w:sz w:val="20"/>
          <w:szCs w:val="20"/>
          <w:lang w:val="en-US"/>
        </w:rPr>
        <w:t>São Paulo: Atlas, 2005.</w:t>
      </w:r>
    </w:p>
    <w:p w:rsidR="00341349" w:rsidRPr="00FB2FDB" w:rsidRDefault="00341349" w:rsidP="00FB2FDB">
      <w:pPr>
        <w:autoSpaceDE w:val="0"/>
        <w:autoSpaceDN w:val="0"/>
        <w:adjustRightInd w:val="0"/>
        <w:spacing w:after="120"/>
        <w:jc w:val="both"/>
        <w:rPr>
          <w:rFonts w:ascii="Century Gothic" w:hAnsi="Century Gothic"/>
          <w:sz w:val="20"/>
          <w:szCs w:val="20"/>
          <w:lang w:val="en-US"/>
        </w:rPr>
      </w:pPr>
      <w:r w:rsidRPr="00FB2FDB">
        <w:rPr>
          <w:rFonts w:ascii="Century Gothic" w:hAnsi="Century Gothic"/>
          <w:sz w:val="20"/>
          <w:szCs w:val="20"/>
          <w:lang w:val="en-US"/>
        </w:rPr>
        <w:t>DONG. Y.</w:t>
      </w:r>
      <w:proofErr w:type="gramStart"/>
      <w:r w:rsidRPr="00FB2FDB">
        <w:rPr>
          <w:rFonts w:ascii="Century Gothic" w:hAnsi="Century Gothic"/>
          <w:sz w:val="20"/>
          <w:szCs w:val="20"/>
          <w:lang w:val="en-US"/>
        </w:rPr>
        <w:t>;  XU</w:t>
      </w:r>
      <w:proofErr w:type="gramEnd"/>
      <w:r w:rsidRPr="00FB2FDB">
        <w:rPr>
          <w:rFonts w:ascii="Century Gothic" w:hAnsi="Century Gothic"/>
          <w:sz w:val="20"/>
          <w:szCs w:val="20"/>
          <w:lang w:val="en-US"/>
        </w:rPr>
        <w:t xml:space="preserve"> K.  "A Supply Chain Model of Vendor Managed Inventory." Transportation Research Part E: Logistic</w:t>
      </w:r>
      <w:r w:rsidR="00C52BA9">
        <w:rPr>
          <w:rFonts w:ascii="Century Gothic" w:hAnsi="Century Gothic"/>
          <w:sz w:val="20"/>
          <w:szCs w:val="20"/>
          <w:lang w:val="en-US"/>
        </w:rPr>
        <w:t xml:space="preserve">s and Transportation Review, v. </w:t>
      </w:r>
      <w:r w:rsidRPr="00FB2FDB">
        <w:rPr>
          <w:rFonts w:ascii="Century Gothic" w:hAnsi="Century Gothic"/>
          <w:sz w:val="20"/>
          <w:szCs w:val="20"/>
          <w:lang w:val="en-US"/>
        </w:rPr>
        <w:t>38, Issue 2, 2002. pp.</w:t>
      </w:r>
      <w:r w:rsidR="00C52BA9">
        <w:rPr>
          <w:rFonts w:ascii="Century Gothic" w:hAnsi="Century Gothic"/>
          <w:sz w:val="20"/>
          <w:szCs w:val="20"/>
          <w:lang w:val="en-US"/>
        </w:rPr>
        <w:t xml:space="preserve"> </w:t>
      </w:r>
      <w:r w:rsidRPr="00FB2FDB">
        <w:rPr>
          <w:rFonts w:ascii="Century Gothic" w:hAnsi="Century Gothic"/>
          <w:sz w:val="20"/>
          <w:szCs w:val="20"/>
          <w:lang w:val="en-US"/>
        </w:rPr>
        <w:t>75-95.</w:t>
      </w:r>
    </w:p>
    <w:p w:rsidR="00DB5645" w:rsidRPr="00FB2FDB" w:rsidRDefault="001B3E30" w:rsidP="00FB2FDB">
      <w:pPr>
        <w:spacing w:after="120"/>
        <w:jc w:val="both"/>
        <w:rPr>
          <w:rFonts w:ascii="Century Gothic" w:hAnsi="Century Gothic"/>
          <w:sz w:val="20"/>
          <w:szCs w:val="20"/>
          <w:lang w:val="en-US"/>
        </w:rPr>
      </w:pPr>
      <w:r w:rsidRPr="00FB2FDB">
        <w:rPr>
          <w:rFonts w:ascii="Century Gothic" w:hAnsi="Century Gothic"/>
          <w:sz w:val="20"/>
          <w:szCs w:val="20"/>
          <w:lang w:val="en-US"/>
        </w:rPr>
        <w:t>EHRENTHAL</w:t>
      </w:r>
      <w:r w:rsidR="00DB5645" w:rsidRPr="00FB2FDB">
        <w:rPr>
          <w:rFonts w:ascii="Century Gothic" w:hAnsi="Century Gothic"/>
          <w:sz w:val="20"/>
          <w:szCs w:val="20"/>
          <w:lang w:val="en-US"/>
        </w:rPr>
        <w:t xml:space="preserve">, J. C. F., </w:t>
      </w:r>
      <w:r w:rsidRPr="00FB2FDB">
        <w:rPr>
          <w:rFonts w:ascii="Century Gothic" w:hAnsi="Century Gothic"/>
          <w:sz w:val="20"/>
          <w:szCs w:val="20"/>
          <w:lang w:val="en-US"/>
        </w:rPr>
        <w:t>HONHON</w:t>
      </w:r>
      <w:r w:rsidR="00DB5645" w:rsidRPr="00FB2FDB">
        <w:rPr>
          <w:rFonts w:ascii="Century Gothic" w:hAnsi="Century Gothic"/>
          <w:sz w:val="20"/>
          <w:szCs w:val="20"/>
          <w:lang w:val="en-US"/>
        </w:rPr>
        <w:t xml:space="preserve">, D. e Van </w:t>
      </w:r>
      <w:r w:rsidRPr="00FB2FDB">
        <w:rPr>
          <w:rFonts w:ascii="Century Gothic" w:hAnsi="Century Gothic"/>
          <w:sz w:val="20"/>
          <w:szCs w:val="20"/>
          <w:lang w:val="en-US"/>
        </w:rPr>
        <w:t>WOENSEL,</w:t>
      </w:r>
      <w:r w:rsidR="00DB5645" w:rsidRPr="00FB2FDB">
        <w:rPr>
          <w:rFonts w:ascii="Century Gothic" w:hAnsi="Century Gothic"/>
          <w:sz w:val="20"/>
          <w:szCs w:val="20"/>
          <w:lang w:val="en-US"/>
        </w:rPr>
        <w:t xml:space="preserve"> T. Demand seasonality in retail inventory management. </w:t>
      </w:r>
      <w:r w:rsidR="00DB5645" w:rsidRPr="00FB2FDB">
        <w:rPr>
          <w:rFonts w:ascii="Century Gothic" w:hAnsi="Century Gothic"/>
          <w:i/>
          <w:sz w:val="20"/>
          <w:szCs w:val="20"/>
          <w:lang w:val="en-US"/>
        </w:rPr>
        <w:t>European Journal of Operational Research</w:t>
      </w:r>
      <w:r w:rsidR="00DB5645" w:rsidRPr="00FB2FDB">
        <w:rPr>
          <w:rFonts w:ascii="Century Gothic" w:hAnsi="Century Gothic"/>
          <w:sz w:val="20"/>
          <w:szCs w:val="20"/>
          <w:lang w:val="en-US"/>
        </w:rPr>
        <w:t>, 238, pp. 527-539, 2014.</w:t>
      </w:r>
    </w:p>
    <w:p w:rsidR="00341349" w:rsidRPr="00FB2FDB" w:rsidRDefault="00341349" w:rsidP="00FB2FDB">
      <w:pPr>
        <w:spacing w:after="120"/>
        <w:jc w:val="both"/>
        <w:rPr>
          <w:rFonts w:ascii="Century Gothic" w:hAnsi="Century Gothic"/>
          <w:sz w:val="20"/>
          <w:szCs w:val="20"/>
          <w:lang w:val="en-US"/>
        </w:rPr>
      </w:pPr>
      <w:r w:rsidRPr="00FB2FDB">
        <w:rPr>
          <w:rFonts w:ascii="Century Gothic" w:hAnsi="Century Gothic"/>
          <w:sz w:val="20"/>
          <w:szCs w:val="20"/>
          <w:lang w:val="en-US"/>
        </w:rPr>
        <w:t xml:space="preserve">GITMAN, Lawrence. </w:t>
      </w:r>
      <w:proofErr w:type="spellStart"/>
      <w:r w:rsidRPr="00FB2FDB">
        <w:rPr>
          <w:rFonts w:ascii="Century Gothic" w:hAnsi="Century Gothic"/>
          <w:sz w:val="20"/>
          <w:szCs w:val="20"/>
          <w:lang w:val="en-US"/>
        </w:rPr>
        <w:t>Princípios</w:t>
      </w:r>
      <w:proofErr w:type="spellEnd"/>
      <w:r w:rsidRPr="00FB2FDB">
        <w:rPr>
          <w:rFonts w:ascii="Century Gothic" w:hAnsi="Century Gothic"/>
          <w:sz w:val="20"/>
          <w:szCs w:val="20"/>
          <w:lang w:val="en-US"/>
        </w:rPr>
        <w:t xml:space="preserve"> de </w:t>
      </w:r>
      <w:proofErr w:type="spellStart"/>
      <w:r w:rsidRPr="00FB2FDB">
        <w:rPr>
          <w:rFonts w:ascii="Century Gothic" w:hAnsi="Century Gothic"/>
          <w:sz w:val="20"/>
          <w:szCs w:val="20"/>
          <w:lang w:val="en-US"/>
        </w:rPr>
        <w:t>Administração</w:t>
      </w:r>
      <w:proofErr w:type="spellEnd"/>
      <w:r w:rsidRPr="00FB2FDB">
        <w:rPr>
          <w:rFonts w:ascii="Century Gothic" w:hAnsi="Century Gothic"/>
          <w:sz w:val="20"/>
          <w:szCs w:val="20"/>
          <w:lang w:val="en-US"/>
        </w:rPr>
        <w:t xml:space="preserve"> </w:t>
      </w:r>
      <w:proofErr w:type="spellStart"/>
      <w:r w:rsidRPr="00FB2FDB">
        <w:rPr>
          <w:rFonts w:ascii="Century Gothic" w:hAnsi="Century Gothic"/>
          <w:sz w:val="20"/>
          <w:szCs w:val="20"/>
          <w:lang w:val="en-US"/>
        </w:rPr>
        <w:t>Financeira</w:t>
      </w:r>
      <w:proofErr w:type="spellEnd"/>
      <w:r w:rsidRPr="00FB2FDB">
        <w:rPr>
          <w:rFonts w:ascii="Century Gothic" w:hAnsi="Century Gothic"/>
          <w:sz w:val="20"/>
          <w:szCs w:val="20"/>
          <w:lang w:val="en-US"/>
        </w:rPr>
        <w:t>. São Paulo: Pearson Education, 2004.</w:t>
      </w:r>
    </w:p>
    <w:p w:rsidR="00341349" w:rsidRPr="00FB2FDB" w:rsidRDefault="00341349" w:rsidP="00FB2FDB">
      <w:pPr>
        <w:spacing w:after="120"/>
        <w:jc w:val="both"/>
        <w:rPr>
          <w:rFonts w:ascii="Century Gothic" w:hAnsi="Century Gothic"/>
          <w:sz w:val="20"/>
          <w:szCs w:val="20"/>
        </w:rPr>
      </w:pPr>
      <w:r w:rsidRPr="00FB2FDB">
        <w:rPr>
          <w:rFonts w:ascii="Century Gothic" w:hAnsi="Century Gothic"/>
          <w:sz w:val="20"/>
          <w:szCs w:val="20"/>
          <w:lang w:val="en-US"/>
        </w:rPr>
        <w:t xml:space="preserve">GUJARATI, D. N. </w:t>
      </w:r>
      <w:proofErr w:type="spellStart"/>
      <w:r w:rsidRPr="00FB2FDB">
        <w:rPr>
          <w:rFonts w:ascii="Century Gothic" w:hAnsi="Century Gothic"/>
          <w:i/>
          <w:sz w:val="20"/>
          <w:szCs w:val="20"/>
          <w:lang w:val="en-US"/>
        </w:rPr>
        <w:t>Econometria</w:t>
      </w:r>
      <w:proofErr w:type="spellEnd"/>
      <w:r w:rsidRPr="00FB2FDB">
        <w:rPr>
          <w:rFonts w:ascii="Century Gothic" w:hAnsi="Century Gothic"/>
          <w:i/>
          <w:sz w:val="20"/>
          <w:szCs w:val="20"/>
          <w:lang w:val="en-US"/>
        </w:rPr>
        <w:t xml:space="preserve"> </w:t>
      </w:r>
      <w:proofErr w:type="spellStart"/>
      <w:r w:rsidRPr="00FB2FDB">
        <w:rPr>
          <w:rFonts w:ascii="Century Gothic" w:hAnsi="Century Gothic"/>
          <w:i/>
          <w:sz w:val="20"/>
          <w:szCs w:val="20"/>
          <w:lang w:val="en-US"/>
        </w:rPr>
        <w:t>básica</w:t>
      </w:r>
      <w:proofErr w:type="spellEnd"/>
      <w:r w:rsidRPr="00FB2FDB">
        <w:rPr>
          <w:rFonts w:ascii="Century Gothic" w:hAnsi="Century Gothic"/>
          <w:sz w:val="20"/>
          <w:szCs w:val="20"/>
          <w:lang w:val="en-US"/>
        </w:rPr>
        <w:t xml:space="preserve">. </w:t>
      </w:r>
      <w:r w:rsidRPr="00FB2FDB">
        <w:rPr>
          <w:rFonts w:ascii="Century Gothic" w:hAnsi="Century Gothic"/>
          <w:sz w:val="20"/>
          <w:szCs w:val="20"/>
        </w:rPr>
        <w:t>São Paulo: Makron Books, 2000.</w:t>
      </w:r>
    </w:p>
    <w:p w:rsidR="00341349" w:rsidRPr="00FB2FDB" w:rsidRDefault="00341349" w:rsidP="00FB2FDB">
      <w:pPr>
        <w:pStyle w:val="Textodenotaderodap"/>
        <w:spacing w:after="120"/>
        <w:jc w:val="both"/>
        <w:rPr>
          <w:rFonts w:ascii="Century Gothic" w:hAnsi="Century Gothic"/>
        </w:rPr>
      </w:pPr>
      <w:r w:rsidRPr="00FB2FDB">
        <w:rPr>
          <w:rFonts w:ascii="Century Gothic" w:hAnsi="Century Gothic"/>
          <w:noProof/>
        </w:rPr>
        <w:t xml:space="preserve">HAIR JUNIOR, J. F.; ANDERSON, R. E.; TATHAM, R. L; BLACK, W. C. </w:t>
      </w:r>
      <w:r w:rsidRPr="00FB2FDB">
        <w:rPr>
          <w:rFonts w:ascii="Century Gothic" w:hAnsi="Century Gothic"/>
          <w:bCs/>
          <w:i/>
          <w:noProof/>
        </w:rPr>
        <w:t>Análise multivariada de dados</w:t>
      </w:r>
      <w:r w:rsidRPr="00FB2FDB">
        <w:rPr>
          <w:rFonts w:ascii="Century Gothic" w:hAnsi="Century Gothic"/>
          <w:i/>
          <w:noProof/>
        </w:rPr>
        <w:t>.</w:t>
      </w:r>
      <w:r w:rsidRPr="00FB2FDB">
        <w:rPr>
          <w:rFonts w:ascii="Century Gothic" w:hAnsi="Century Gothic"/>
        </w:rPr>
        <w:t xml:space="preserve"> </w:t>
      </w:r>
      <w:r w:rsidRPr="00FB2FDB">
        <w:rPr>
          <w:rFonts w:ascii="Century Gothic" w:hAnsi="Century Gothic"/>
          <w:noProof/>
        </w:rPr>
        <w:t>Porto Alegre:</w:t>
      </w:r>
      <w:r w:rsidRPr="00FB2FDB">
        <w:rPr>
          <w:rFonts w:ascii="Century Gothic" w:hAnsi="Century Gothic"/>
        </w:rPr>
        <w:t xml:space="preserve"> </w:t>
      </w:r>
      <w:r w:rsidRPr="00FB2FDB">
        <w:rPr>
          <w:rFonts w:ascii="Century Gothic" w:hAnsi="Century Gothic"/>
          <w:noProof/>
        </w:rPr>
        <w:t>Bookman, 2005a.</w:t>
      </w:r>
      <w:r w:rsidRPr="00FB2FDB">
        <w:rPr>
          <w:rFonts w:ascii="Century Gothic" w:hAnsi="Century Gothic"/>
        </w:rPr>
        <w:t xml:space="preserve"> </w:t>
      </w:r>
    </w:p>
    <w:p w:rsidR="00341349" w:rsidRPr="00FB2FDB" w:rsidRDefault="00341349" w:rsidP="00FB2FDB">
      <w:pPr>
        <w:pStyle w:val="Textodenotaderodap"/>
        <w:spacing w:after="120"/>
        <w:jc w:val="both"/>
        <w:rPr>
          <w:rFonts w:ascii="Century Gothic" w:hAnsi="Century Gothic"/>
        </w:rPr>
      </w:pPr>
      <w:r w:rsidRPr="00FB2FDB">
        <w:rPr>
          <w:rFonts w:ascii="Century Gothic" w:hAnsi="Century Gothic"/>
          <w:noProof/>
        </w:rPr>
        <w:t xml:space="preserve">HAIR JUNIOR, J. F.; BABIN, B.; MONEY, A. H.; SAMOUEL, P. </w:t>
      </w:r>
      <w:r w:rsidRPr="00FB2FDB">
        <w:rPr>
          <w:rFonts w:ascii="Century Gothic" w:hAnsi="Century Gothic"/>
          <w:bCs/>
          <w:i/>
          <w:noProof/>
        </w:rPr>
        <w:t>Fundamentos de métodos de pesquisa em administração</w:t>
      </w:r>
      <w:r w:rsidRPr="00FB2FDB">
        <w:rPr>
          <w:rFonts w:ascii="Century Gothic" w:hAnsi="Century Gothic"/>
          <w:noProof/>
        </w:rPr>
        <w:t>.</w:t>
      </w:r>
      <w:r w:rsidRPr="00FB2FDB">
        <w:rPr>
          <w:rFonts w:ascii="Century Gothic" w:hAnsi="Century Gothic"/>
        </w:rPr>
        <w:t xml:space="preserve"> </w:t>
      </w:r>
      <w:r w:rsidRPr="00FB2FDB">
        <w:rPr>
          <w:rFonts w:ascii="Century Gothic" w:hAnsi="Century Gothic"/>
          <w:noProof/>
        </w:rPr>
        <w:t>Porto Alegre:</w:t>
      </w:r>
      <w:r w:rsidRPr="00FB2FDB">
        <w:rPr>
          <w:rFonts w:ascii="Century Gothic" w:hAnsi="Century Gothic"/>
        </w:rPr>
        <w:t xml:space="preserve"> </w:t>
      </w:r>
      <w:r w:rsidRPr="00FB2FDB">
        <w:rPr>
          <w:rFonts w:ascii="Century Gothic" w:hAnsi="Century Gothic"/>
          <w:noProof/>
        </w:rPr>
        <w:t>Bookman, 2005b.</w:t>
      </w:r>
      <w:r w:rsidRPr="00FB2FDB">
        <w:rPr>
          <w:rFonts w:ascii="Century Gothic" w:hAnsi="Century Gothic"/>
        </w:rPr>
        <w:t xml:space="preserve"> </w:t>
      </w:r>
    </w:p>
    <w:p w:rsidR="00341349" w:rsidRPr="00FB2FDB" w:rsidRDefault="00341349" w:rsidP="00FB2FDB">
      <w:pPr>
        <w:pStyle w:val="Textodenotaderodap"/>
        <w:spacing w:after="120"/>
        <w:jc w:val="both"/>
        <w:rPr>
          <w:rFonts w:ascii="Century Gothic" w:hAnsi="Century Gothic"/>
        </w:rPr>
      </w:pPr>
      <w:r w:rsidRPr="00FB2FDB">
        <w:rPr>
          <w:rFonts w:ascii="Century Gothic" w:hAnsi="Century Gothic"/>
          <w:noProof/>
        </w:rPr>
        <w:t xml:space="preserve">HOFFMANN, R. </w:t>
      </w:r>
      <w:r w:rsidRPr="00FB2FDB">
        <w:rPr>
          <w:rFonts w:ascii="Century Gothic" w:hAnsi="Century Gothic"/>
          <w:bCs/>
          <w:i/>
          <w:noProof/>
        </w:rPr>
        <w:t>Estatística para Economistas</w:t>
      </w:r>
      <w:r w:rsidRPr="00FB2FDB">
        <w:rPr>
          <w:rFonts w:ascii="Century Gothic" w:hAnsi="Century Gothic"/>
          <w:noProof/>
        </w:rPr>
        <w:t>.</w:t>
      </w:r>
      <w:r w:rsidRPr="00FB2FDB">
        <w:rPr>
          <w:rFonts w:ascii="Century Gothic" w:hAnsi="Century Gothic"/>
        </w:rPr>
        <w:t xml:space="preserve"> </w:t>
      </w:r>
      <w:r w:rsidRPr="00FB2FDB">
        <w:rPr>
          <w:rFonts w:ascii="Century Gothic" w:hAnsi="Century Gothic"/>
          <w:noProof/>
        </w:rPr>
        <w:t>2 ed.</w:t>
      </w:r>
      <w:r w:rsidRPr="00FB2FDB">
        <w:rPr>
          <w:rFonts w:ascii="Century Gothic" w:hAnsi="Century Gothic"/>
        </w:rPr>
        <w:t xml:space="preserve"> </w:t>
      </w:r>
      <w:r w:rsidRPr="00FB2FDB">
        <w:rPr>
          <w:rFonts w:ascii="Century Gothic" w:hAnsi="Century Gothic"/>
          <w:noProof/>
        </w:rPr>
        <w:t>São Paulo:</w:t>
      </w:r>
      <w:r w:rsidRPr="00FB2FDB">
        <w:rPr>
          <w:rFonts w:ascii="Century Gothic" w:hAnsi="Century Gothic"/>
        </w:rPr>
        <w:t xml:space="preserve"> </w:t>
      </w:r>
      <w:r w:rsidRPr="00FB2FDB">
        <w:rPr>
          <w:rFonts w:ascii="Century Gothic" w:hAnsi="Century Gothic"/>
          <w:noProof/>
        </w:rPr>
        <w:t>Livraria Pioneira Editora, 1991.</w:t>
      </w:r>
    </w:p>
    <w:p w:rsidR="00341349" w:rsidRPr="00FB2FDB" w:rsidRDefault="00341349" w:rsidP="00FB2FDB">
      <w:pPr>
        <w:pStyle w:val="Textodenotaderodap"/>
        <w:spacing w:after="120"/>
        <w:jc w:val="both"/>
        <w:rPr>
          <w:rFonts w:ascii="Century Gothic" w:hAnsi="Century Gothic"/>
          <w:lang w:val="en-GB"/>
        </w:rPr>
      </w:pPr>
      <w:r w:rsidRPr="00FB2FDB">
        <w:rPr>
          <w:rFonts w:ascii="Century Gothic" w:hAnsi="Century Gothic"/>
          <w:noProof/>
        </w:rPr>
        <w:t>INSTITUTO BRASILEIRO DE GEOGRAFIA E ESTATÍSTICA – IBGE.</w:t>
      </w:r>
      <w:r w:rsidRPr="00FB2FDB">
        <w:rPr>
          <w:rFonts w:ascii="Century Gothic" w:hAnsi="Century Gothic"/>
        </w:rPr>
        <w:t xml:space="preserve"> </w:t>
      </w:r>
      <w:r w:rsidRPr="00FB2FDB">
        <w:rPr>
          <w:rFonts w:ascii="Century Gothic" w:hAnsi="Century Gothic"/>
          <w:noProof/>
        </w:rPr>
        <w:t>Disponível em:</w:t>
      </w:r>
      <w:r w:rsidRPr="00FB2FDB">
        <w:rPr>
          <w:rFonts w:ascii="Century Gothic" w:hAnsi="Century Gothic"/>
        </w:rPr>
        <w:t xml:space="preserve"> </w:t>
      </w:r>
      <w:r w:rsidRPr="00FB2FDB">
        <w:rPr>
          <w:rFonts w:ascii="Century Gothic" w:hAnsi="Century Gothic"/>
          <w:noProof/>
        </w:rPr>
        <w:t>&lt;www.ibge.gov.br&gt;.</w:t>
      </w:r>
      <w:r w:rsidRPr="00FB2FDB">
        <w:rPr>
          <w:rFonts w:ascii="Century Gothic" w:hAnsi="Century Gothic"/>
        </w:rPr>
        <w:t xml:space="preserve"> </w:t>
      </w:r>
      <w:r w:rsidRPr="00FB2FDB">
        <w:rPr>
          <w:rFonts w:ascii="Century Gothic" w:hAnsi="Century Gothic"/>
          <w:noProof/>
          <w:lang w:val="en-GB"/>
        </w:rPr>
        <w:t>Accessado em:</w:t>
      </w:r>
      <w:r w:rsidRPr="00FB2FDB">
        <w:rPr>
          <w:rFonts w:ascii="Century Gothic" w:hAnsi="Century Gothic"/>
          <w:lang w:val="en-GB"/>
        </w:rPr>
        <w:t xml:space="preserve"> </w:t>
      </w:r>
      <w:r w:rsidRPr="00FB2FDB">
        <w:rPr>
          <w:rFonts w:ascii="Century Gothic" w:hAnsi="Century Gothic"/>
          <w:noProof/>
          <w:lang w:val="en-GB"/>
        </w:rPr>
        <w:t>15/jan./2010</w:t>
      </w:r>
      <w:r w:rsidRPr="00FB2FDB">
        <w:rPr>
          <w:rFonts w:ascii="Century Gothic" w:hAnsi="Century Gothic"/>
          <w:lang w:val="en-GB"/>
        </w:rPr>
        <w:t>.</w:t>
      </w:r>
    </w:p>
    <w:p w:rsidR="008A4607" w:rsidRPr="00FB2FDB" w:rsidRDefault="008A4607" w:rsidP="00FB2FDB">
      <w:pPr>
        <w:spacing w:after="120"/>
        <w:jc w:val="both"/>
        <w:rPr>
          <w:rFonts w:ascii="Century Gothic" w:hAnsi="Century Gothic"/>
          <w:sz w:val="20"/>
          <w:szCs w:val="20"/>
          <w:lang w:val="en-GB"/>
        </w:rPr>
      </w:pPr>
      <w:r w:rsidRPr="00FB2FDB">
        <w:rPr>
          <w:rFonts w:ascii="Century Gothic" w:hAnsi="Century Gothic"/>
          <w:sz w:val="20"/>
          <w:szCs w:val="20"/>
          <w:lang w:val="en-GB"/>
        </w:rPr>
        <w:lastRenderedPageBreak/>
        <w:t xml:space="preserve">KAYA, </w:t>
      </w:r>
      <w:proofErr w:type="spellStart"/>
      <w:r w:rsidRPr="00FB2FDB">
        <w:rPr>
          <w:rFonts w:ascii="Century Gothic" w:hAnsi="Century Gothic"/>
          <w:sz w:val="20"/>
          <w:szCs w:val="20"/>
          <w:lang w:val="en-GB"/>
        </w:rPr>
        <w:t>Halil</w:t>
      </w:r>
      <w:proofErr w:type="spellEnd"/>
      <w:r w:rsidRPr="00FB2FDB">
        <w:rPr>
          <w:rFonts w:ascii="Century Gothic" w:hAnsi="Century Gothic"/>
          <w:sz w:val="20"/>
          <w:szCs w:val="20"/>
          <w:lang w:val="en-GB"/>
        </w:rPr>
        <w:t xml:space="preserve"> D.; BANERJEE, </w:t>
      </w:r>
      <w:proofErr w:type="spellStart"/>
      <w:r w:rsidRPr="00FB2FDB">
        <w:rPr>
          <w:rFonts w:ascii="Century Gothic" w:hAnsi="Century Gothic"/>
          <w:sz w:val="20"/>
          <w:szCs w:val="20"/>
          <w:lang w:val="en-GB"/>
        </w:rPr>
        <w:t>Gaurango</w:t>
      </w:r>
      <w:proofErr w:type="spellEnd"/>
      <w:r w:rsidRPr="00FB2FDB">
        <w:rPr>
          <w:rFonts w:ascii="Century Gothic" w:hAnsi="Century Gothic"/>
          <w:sz w:val="20"/>
          <w:szCs w:val="20"/>
          <w:lang w:val="en-GB"/>
        </w:rPr>
        <w:t xml:space="preserve">. Impact of Business Cycles on Retail and Wholesale Firms' Asset Values Leverage Ratio Sand Cash Flows: Evidence from U.S. Listed Firms. </w:t>
      </w:r>
      <w:r w:rsidRPr="00FB2FDB">
        <w:rPr>
          <w:rFonts w:ascii="Century Gothic" w:hAnsi="Century Gothic"/>
          <w:i/>
          <w:sz w:val="20"/>
          <w:szCs w:val="20"/>
          <w:lang w:val="en-GB"/>
        </w:rPr>
        <w:t>Journal of Financial Management and Analysis</w:t>
      </w:r>
      <w:r w:rsidRPr="00FB2FDB">
        <w:rPr>
          <w:rFonts w:ascii="Century Gothic" w:hAnsi="Century Gothic"/>
          <w:sz w:val="20"/>
          <w:szCs w:val="20"/>
          <w:lang w:val="en-GB"/>
        </w:rPr>
        <w:t>, v. 25, n. 2, p. 39-50, 2012.</w:t>
      </w:r>
    </w:p>
    <w:p w:rsidR="00341349" w:rsidRPr="00FB2FDB" w:rsidRDefault="00341349" w:rsidP="00FB2FDB">
      <w:pPr>
        <w:pStyle w:val="Textodenotaderodap"/>
        <w:spacing w:after="120"/>
        <w:jc w:val="both"/>
        <w:rPr>
          <w:rFonts w:ascii="Century Gothic" w:hAnsi="Century Gothic"/>
        </w:rPr>
      </w:pPr>
      <w:r w:rsidRPr="00FB2FDB">
        <w:rPr>
          <w:rFonts w:ascii="Century Gothic" w:hAnsi="Century Gothic"/>
          <w:noProof/>
          <w:lang w:val="en-GB"/>
        </w:rPr>
        <w:t xml:space="preserve">LEN, R. </w:t>
      </w:r>
      <w:r w:rsidRPr="00FB2FDB">
        <w:rPr>
          <w:rFonts w:ascii="Century Gothic" w:hAnsi="Century Gothic"/>
          <w:bCs/>
          <w:i/>
          <w:noProof/>
          <w:lang w:val="en-GB"/>
        </w:rPr>
        <w:t>Administração de vendas e marketing</w:t>
      </w:r>
      <w:r w:rsidRPr="00FB2FDB">
        <w:rPr>
          <w:rFonts w:ascii="Century Gothic" w:hAnsi="Century Gothic"/>
          <w:noProof/>
          <w:lang w:val="en-GB"/>
        </w:rPr>
        <w:t>.</w:t>
      </w:r>
      <w:r w:rsidRPr="00FB2FDB">
        <w:rPr>
          <w:rFonts w:ascii="Century Gothic" w:hAnsi="Century Gothic"/>
          <w:lang w:val="en-GB"/>
        </w:rPr>
        <w:t xml:space="preserve"> </w:t>
      </w:r>
      <w:r w:rsidRPr="00FB2FDB">
        <w:rPr>
          <w:rFonts w:ascii="Century Gothic" w:hAnsi="Century Gothic"/>
          <w:noProof/>
        </w:rPr>
        <w:t>São Paulo:</w:t>
      </w:r>
      <w:r w:rsidRPr="00FB2FDB">
        <w:rPr>
          <w:rFonts w:ascii="Century Gothic" w:hAnsi="Century Gothic"/>
        </w:rPr>
        <w:t xml:space="preserve"> </w:t>
      </w:r>
      <w:r w:rsidRPr="00FB2FDB">
        <w:rPr>
          <w:rFonts w:ascii="Century Gothic" w:hAnsi="Century Gothic"/>
          <w:noProof/>
        </w:rPr>
        <w:t>Makron Books, 1993.</w:t>
      </w:r>
    </w:p>
    <w:p w:rsidR="00341349" w:rsidRPr="00FB2FDB" w:rsidRDefault="00341349" w:rsidP="00FB2FDB">
      <w:pPr>
        <w:pStyle w:val="Textodenotaderodap"/>
        <w:spacing w:after="120"/>
        <w:jc w:val="both"/>
        <w:rPr>
          <w:rFonts w:ascii="Century Gothic" w:hAnsi="Century Gothic"/>
        </w:rPr>
      </w:pPr>
      <w:r w:rsidRPr="00FB2FDB">
        <w:rPr>
          <w:rFonts w:ascii="Century Gothic" w:hAnsi="Century Gothic"/>
          <w:noProof/>
        </w:rPr>
        <w:t xml:space="preserve">LEVY, M.; WEITZ, B. A. </w:t>
      </w:r>
      <w:r w:rsidRPr="00FB2FDB">
        <w:rPr>
          <w:rFonts w:ascii="Century Gothic" w:hAnsi="Century Gothic"/>
          <w:bCs/>
          <w:i/>
          <w:noProof/>
        </w:rPr>
        <w:t>Administração de varejo</w:t>
      </w:r>
      <w:r w:rsidRPr="00FB2FDB">
        <w:rPr>
          <w:rFonts w:ascii="Century Gothic" w:hAnsi="Century Gothic"/>
          <w:noProof/>
        </w:rPr>
        <w:t>.</w:t>
      </w:r>
      <w:r w:rsidRPr="00FB2FDB">
        <w:rPr>
          <w:rFonts w:ascii="Century Gothic" w:hAnsi="Century Gothic"/>
        </w:rPr>
        <w:t xml:space="preserve"> </w:t>
      </w:r>
      <w:r w:rsidRPr="00FB2FDB">
        <w:rPr>
          <w:rFonts w:ascii="Century Gothic" w:hAnsi="Century Gothic"/>
          <w:noProof/>
        </w:rPr>
        <w:t>São Paulo:</w:t>
      </w:r>
      <w:r w:rsidRPr="00FB2FDB">
        <w:rPr>
          <w:rFonts w:ascii="Century Gothic" w:hAnsi="Century Gothic"/>
        </w:rPr>
        <w:t xml:space="preserve"> </w:t>
      </w:r>
      <w:r w:rsidRPr="00FB2FDB">
        <w:rPr>
          <w:rFonts w:ascii="Century Gothic" w:hAnsi="Century Gothic"/>
          <w:noProof/>
        </w:rPr>
        <w:t>Atlas, 2000.</w:t>
      </w:r>
    </w:p>
    <w:p w:rsidR="00341349" w:rsidRPr="00FB2FDB" w:rsidRDefault="00341349" w:rsidP="00FB2FDB">
      <w:pPr>
        <w:pStyle w:val="Textodenotaderodap"/>
        <w:spacing w:after="120"/>
        <w:jc w:val="both"/>
        <w:rPr>
          <w:rFonts w:ascii="Century Gothic" w:hAnsi="Century Gothic"/>
          <w:lang w:val="en-US"/>
        </w:rPr>
      </w:pPr>
      <w:r w:rsidRPr="00FB2FDB">
        <w:rPr>
          <w:rFonts w:ascii="Century Gothic" w:hAnsi="Century Gothic"/>
          <w:noProof/>
        </w:rPr>
        <w:t xml:space="preserve">MALHOTRA, N. K. </w:t>
      </w:r>
      <w:r w:rsidRPr="00FB2FDB">
        <w:rPr>
          <w:rFonts w:ascii="Century Gothic" w:hAnsi="Century Gothic"/>
          <w:bCs/>
          <w:i/>
          <w:noProof/>
        </w:rPr>
        <w:t>Pesquisa de marketing</w:t>
      </w:r>
      <w:r w:rsidRPr="00FB2FDB">
        <w:rPr>
          <w:rFonts w:ascii="Century Gothic" w:hAnsi="Century Gothic"/>
          <w:noProof/>
        </w:rPr>
        <w:t>:</w:t>
      </w:r>
      <w:r w:rsidRPr="00FB2FDB">
        <w:rPr>
          <w:rFonts w:ascii="Century Gothic" w:hAnsi="Century Gothic"/>
        </w:rPr>
        <w:t xml:space="preserve"> </w:t>
      </w:r>
      <w:r w:rsidRPr="00FB2FDB">
        <w:rPr>
          <w:rFonts w:ascii="Century Gothic" w:hAnsi="Century Gothic"/>
          <w:noProof/>
        </w:rPr>
        <w:t>uma orientação aplicada.</w:t>
      </w:r>
      <w:r w:rsidRPr="00FB2FDB">
        <w:rPr>
          <w:rFonts w:ascii="Century Gothic" w:hAnsi="Century Gothic"/>
        </w:rPr>
        <w:t xml:space="preserve"> </w:t>
      </w:r>
      <w:r w:rsidRPr="00FB2FDB">
        <w:rPr>
          <w:rFonts w:ascii="Century Gothic" w:hAnsi="Century Gothic"/>
          <w:noProof/>
          <w:lang w:val="en-US"/>
        </w:rPr>
        <w:t>Porto Alegre:</w:t>
      </w:r>
      <w:r w:rsidRPr="00FB2FDB">
        <w:rPr>
          <w:rFonts w:ascii="Century Gothic" w:hAnsi="Century Gothic"/>
          <w:lang w:val="en-US"/>
        </w:rPr>
        <w:t xml:space="preserve"> </w:t>
      </w:r>
      <w:r w:rsidRPr="00FB2FDB">
        <w:rPr>
          <w:rFonts w:ascii="Century Gothic" w:hAnsi="Century Gothic"/>
          <w:noProof/>
          <w:lang w:val="en-US"/>
        </w:rPr>
        <w:t>Bookman, 2001.</w:t>
      </w:r>
    </w:p>
    <w:p w:rsidR="00341349" w:rsidRPr="00FB2FDB" w:rsidRDefault="00341349" w:rsidP="00FB2FDB">
      <w:pPr>
        <w:pStyle w:val="Ttulo4"/>
        <w:spacing w:after="120" w:line="240" w:lineRule="auto"/>
        <w:jc w:val="both"/>
        <w:rPr>
          <w:rFonts w:ascii="Century Gothic" w:hAnsi="Century Gothic"/>
          <w:b w:val="0"/>
          <w:sz w:val="20"/>
        </w:rPr>
      </w:pPr>
      <w:r w:rsidRPr="00FB2FDB">
        <w:rPr>
          <w:rFonts w:ascii="Century Gothic" w:hAnsi="Century Gothic"/>
          <w:b w:val="0"/>
          <w:sz w:val="20"/>
          <w:lang w:val="en-US"/>
        </w:rPr>
        <w:t>MESQUITA, J. M. C.</w:t>
      </w:r>
      <w:r w:rsidRPr="00FB2FDB">
        <w:rPr>
          <w:rFonts w:ascii="Century Gothic" w:hAnsi="Century Gothic"/>
          <w:sz w:val="20"/>
          <w:lang w:val="en-US"/>
        </w:rPr>
        <w:t xml:space="preserve"> </w:t>
      </w:r>
      <w:r w:rsidRPr="00FB2FDB">
        <w:rPr>
          <w:rFonts w:ascii="Century Gothic" w:hAnsi="Century Gothic"/>
          <w:b w:val="0"/>
          <w:sz w:val="20"/>
          <w:lang w:val="en-US"/>
        </w:rPr>
        <w:t>Retail Industry: Seasonality in Sales, and Financial Results</w:t>
      </w:r>
      <w:r w:rsidRPr="00FB2FDB">
        <w:rPr>
          <w:rFonts w:ascii="Century Gothic" w:hAnsi="Century Gothic"/>
          <w:sz w:val="20"/>
          <w:lang w:val="en-US"/>
        </w:rPr>
        <w:t xml:space="preserve">. </w:t>
      </w:r>
      <w:proofErr w:type="spellStart"/>
      <w:r w:rsidRPr="00FB2FDB">
        <w:rPr>
          <w:rFonts w:ascii="Century Gothic" w:hAnsi="Century Gothic"/>
          <w:b w:val="0"/>
          <w:sz w:val="20"/>
        </w:rPr>
        <w:t>Academy</w:t>
      </w:r>
      <w:proofErr w:type="spellEnd"/>
      <w:r w:rsidRPr="00FB2FDB">
        <w:rPr>
          <w:rFonts w:ascii="Century Gothic" w:hAnsi="Century Gothic"/>
          <w:b w:val="0"/>
          <w:sz w:val="20"/>
        </w:rPr>
        <w:t xml:space="preserve"> </w:t>
      </w:r>
      <w:proofErr w:type="spellStart"/>
      <w:r w:rsidRPr="00FB2FDB">
        <w:rPr>
          <w:rFonts w:ascii="Century Gothic" w:hAnsi="Century Gothic"/>
          <w:b w:val="0"/>
          <w:sz w:val="20"/>
        </w:rPr>
        <w:t>of</w:t>
      </w:r>
      <w:proofErr w:type="spellEnd"/>
      <w:r w:rsidRPr="00FB2FDB">
        <w:rPr>
          <w:rFonts w:ascii="Century Gothic" w:hAnsi="Century Gothic"/>
          <w:b w:val="0"/>
          <w:sz w:val="20"/>
        </w:rPr>
        <w:t xml:space="preserve"> </w:t>
      </w:r>
      <w:proofErr w:type="spellStart"/>
      <w:r w:rsidRPr="00FB2FDB">
        <w:rPr>
          <w:rFonts w:ascii="Century Gothic" w:hAnsi="Century Gothic"/>
          <w:b w:val="0"/>
          <w:sz w:val="20"/>
        </w:rPr>
        <w:t>International</w:t>
      </w:r>
      <w:proofErr w:type="spellEnd"/>
      <w:r w:rsidRPr="00FB2FDB">
        <w:rPr>
          <w:rFonts w:ascii="Century Gothic" w:hAnsi="Century Gothic"/>
          <w:b w:val="0"/>
          <w:sz w:val="20"/>
        </w:rPr>
        <w:t xml:space="preserve"> Business </w:t>
      </w:r>
      <w:proofErr w:type="spellStart"/>
      <w:r w:rsidRPr="00FB2FDB">
        <w:rPr>
          <w:rFonts w:ascii="Century Gothic" w:hAnsi="Century Gothic"/>
          <w:b w:val="0"/>
          <w:sz w:val="20"/>
        </w:rPr>
        <w:t>Annual</w:t>
      </w:r>
      <w:proofErr w:type="spellEnd"/>
      <w:r w:rsidRPr="00FB2FDB">
        <w:rPr>
          <w:rFonts w:ascii="Century Gothic" w:hAnsi="Century Gothic"/>
          <w:b w:val="0"/>
          <w:sz w:val="20"/>
        </w:rPr>
        <w:t xml:space="preserve"> </w:t>
      </w:r>
      <w:proofErr w:type="spellStart"/>
      <w:r w:rsidRPr="00FB2FDB">
        <w:rPr>
          <w:rFonts w:ascii="Century Gothic" w:hAnsi="Century Gothic"/>
          <w:b w:val="0"/>
          <w:sz w:val="20"/>
        </w:rPr>
        <w:t>Conference</w:t>
      </w:r>
      <w:proofErr w:type="spellEnd"/>
      <w:r w:rsidRPr="00FB2FDB">
        <w:rPr>
          <w:rFonts w:ascii="Century Gothic" w:hAnsi="Century Gothic"/>
          <w:b w:val="0"/>
          <w:sz w:val="20"/>
        </w:rPr>
        <w:t xml:space="preserve">. Milan, </w:t>
      </w:r>
      <w:proofErr w:type="spellStart"/>
      <w:r w:rsidRPr="00FB2FDB">
        <w:rPr>
          <w:rFonts w:ascii="Century Gothic" w:hAnsi="Century Gothic"/>
          <w:b w:val="0"/>
          <w:sz w:val="20"/>
        </w:rPr>
        <w:t>Italy</w:t>
      </w:r>
      <w:proofErr w:type="spellEnd"/>
      <w:r w:rsidRPr="00FB2FDB">
        <w:rPr>
          <w:rFonts w:ascii="Century Gothic" w:hAnsi="Century Gothic"/>
          <w:b w:val="0"/>
          <w:sz w:val="20"/>
        </w:rPr>
        <w:t>, jul./2008.</w:t>
      </w:r>
    </w:p>
    <w:p w:rsidR="008A4607" w:rsidRPr="00FB2FDB" w:rsidRDefault="008A4607" w:rsidP="00FB2FDB">
      <w:pPr>
        <w:spacing w:after="120"/>
        <w:jc w:val="both"/>
        <w:rPr>
          <w:rFonts w:ascii="Century Gothic" w:hAnsi="Century Gothic"/>
          <w:sz w:val="20"/>
          <w:szCs w:val="20"/>
        </w:rPr>
      </w:pPr>
      <w:r w:rsidRPr="00FB2FDB">
        <w:rPr>
          <w:rFonts w:ascii="Century Gothic" w:hAnsi="Century Gothic"/>
          <w:sz w:val="20"/>
          <w:szCs w:val="20"/>
        </w:rPr>
        <w:t xml:space="preserve">MESQUITA, </w:t>
      </w:r>
      <w:r w:rsidR="00360B1F" w:rsidRPr="00FB2FDB">
        <w:rPr>
          <w:rFonts w:ascii="Century Gothic" w:hAnsi="Century Gothic"/>
          <w:sz w:val="20"/>
          <w:szCs w:val="20"/>
        </w:rPr>
        <w:t>J. M. C.</w:t>
      </w:r>
      <w:r w:rsidRPr="00FB2FDB">
        <w:rPr>
          <w:rFonts w:ascii="Century Gothic" w:hAnsi="Century Gothic"/>
          <w:sz w:val="20"/>
          <w:szCs w:val="20"/>
        </w:rPr>
        <w:t>; MARTINS, H. C. Segmento varejista: sazonalidade das vendas e resultados</w:t>
      </w:r>
      <w:r w:rsidRPr="00FB2FDB">
        <w:rPr>
          <w:rFonts w:ascii="Century Gothic" w:hAnsi="Century Gothic" w:cs="Tahoma"/>
          <w:color w:val="326C99"/>
          <w:sz w:val="20"/>
          <w:szCs w:val="20"/>
          <w:shd w:val="clear" w:color="auto" w:fill="FFFFFF"/>
        </w:rPr>
        <w:t xml:space="preserve"> </w:t>
      </w:r>
      <w:r w:rsidRPr="00FB2FDB">
        <w:rPr>
          <w:rFonts w:ascii="Century Gothic" w:hAnsi="Century Gothic"/>
          <w:sz w:val="20"/>
          <w:szCs w:val="20"/>
        </w:rPr>
        <w:t xml:space="preserve">financeiros. BBR. </w:t>
      </w:r>
      <w:proofErr w:type="spellStart"/>
      <w:r w:rsidRPr="00FB2FDB">
        <w:rPr>
          <w:rFonts w:ascii="Century Gothic" w:hAnsi="Century Gothic"/>
          <w:sz w:val="20"/>
          <w:szCs w:val="20"/>
        </w:rPr>
        <w:t>Brazilian</w:t>
      </w:r>
      <w:proofErr w:type="spellEnd"/>
      <w:r w:rsidRPr="00FB2FDB">
        <w:rPr>
          <w:rFonts w:ascii="Century Gothic" w:hAnsi="Century Gothic"/>
          <w:sz w:val="20"/>
          <w:szCs w:val="20"/>
        </w:rPr>
        <w:t xml:space="preserve"> Business </w:t>
      </w:r>
      <w:proofErr w:type="spellStart"/>
      <w:r w:rsidRPr="00FB2FDB">
        <w:rPr>
          <w:rFonts w:ascii="Century Gothic" w:hAnsi="Century Gothic"/>
          <w:sz w:val="20"/>
          <w:szCs w:val="20"/>
        </w:rPr>
        <w:t>Review</w:t>
      </w:r>
      <w:proofErr w:type="spellEnd"/>
      <w:r w:rsidRPr="00FB2FDB">
        <w:rPr>
          <w:rFonts w:ascii="Century Gothic" w:hAnsi="Century Gothic"/>
          <w:sz w:val="20"/>
          <w:szCs w:val="20"/>
        </w:rPr>
        <w:t xml:space="preserve"> (Edição em português. Online), v. 8, p. 66-87, 2011.</w:t>
      </w:r>
    </w:p>
    <w:p w:rsidR="00341349" w:rsidRPr="00FB2FDB" w:rsidRDefault="00341349" w:rsidP="00FB2FDB">
      <w:pPr>
        <w:spacing w:after="120"/>
        <w:jc w:val="both"/>
        <w:rPr>
          <w:rFonts w:ascii="Century Gothic" w:hAnsi="Century Gothic"/>
          <w:sz w:val="20"/>
          <w:szCs w:val="20"/>
        </w:rPr>
      </w:pPr>
      <w:r w:rsidRPr="00FB2FDB">
        <w:rPr>
          <w:rFonts w:ascii="Century Gothic" w:hAnsi="Century Gothic"/>
          <w:noProof/>
          <w:sz w:val="20"/>
          <w:szCs w:val="20"/>
        </w:rPr>
        <w:t>MOTTA, J. Como Reduzir a incerteza em previsão de vendas.</w:t>
      </w:r>
      <w:r w:rsidRPr="00FB2FDB">
        <w:rPr>
          <w:rFonts w:ascii="Century Gothic" w:hAnsi="Century Gothic"/>
          <w:sz w:val="20"/>
          <w:szCs w:val="20"/>
        </w:rPr>
        <w:t xml:space="preserve"> </w:t>
      </w:r>
      <w:r w:rsidRPr="00FB2FDB">
        <w:rPr>
          <w:rFonts w:ascii="Century Gothic" w:hAnsi="Century Gothic"/>
          <w:noProof/>
          <w:sz w:val="20"/>
          <w:szCs w:val="20"/>
        </w:rPr>
        <w:t>Rio de Janeiro:</w:t>
      </w:r>
      <w:r w:rsidRPr="00FB2FDB">
        <w:rPr>
          <w:rFonts w:ascii="Century Gothic" w:hAnsi="Century Gothic"/>
          <w:sz w:val="20"/>
          <w:szCs w:val="20"/>
        </w:rPr>
        <w:t xml:space="preserve"> </w:t>
      </w:r>
      <w:r w:rsidRPr="00FB2FDB">
        <w:rPr>
          <w:rFonts w:ascii="Century Gothic" w:hAnsi="Century Gothic"/>
          <w:bCs/>
          <w:i/>
          <w:noProof/>
          <w:sz w:val="20"/>
          <w:szCs w:val="20"/>
        </w:rPr>
        <w:t>Revista de Administração de Empresas</w:t>
      </w:r>
      <w:r w:rsidRPr="00FB2FDB">
        <w:rPr>
          <w:rFonts w:ascii="Century Gothic" w:hAnsi="Century Gothic"/>
          <w:noProof/>
          <w:sz w:val="20"/>
          <w:szCs w:val="20"/>
        </w:rPr>
        <w:t>, v. 26, n. 1, Jan.</w:t>
      </w:r>
      <w:r w:rsidRPr="00FB2FDB">
        <w:rPr>
          <w:rFonts w:ascii="Century Gothic" w:hAnsi="Century Gothic"/>
          <w:sz w:val="20"/>
          <w:szCs w:val="20"/>
        </w:rPr>
        <w:t xml:space="preserve"> </w:t>
      </w:r>
      <w:r w:rsidRPr="00FB2FDB">
        <w:rPr>
          <w:rFonts w:ascii="Century Gothic" w:hAnsi="Century Gothic"/>
          <w:noProof/>
          <w:sz w:val="20"/>
          <w:szCs w:val="20"/>
        </w:rPr>
        <w:t>/ Mar.</w:t>
      </w:r>
      <w:r w:rsidRPr="00FB2FDB">
        <w:rPr>
          <w:rFonts w:ascii="Century Gothic" w:hAnsi="Century Gothic"/>
          <w:sz w:val="20"/>
          <w:szCs w:val="20"/>
        </w:rPr>
        <w:t xml:space="preserve"> 1986.</w:t>
      </w:r>
    </w:p>
    <w:p w:rsidR="00341349" w:rsidRPr="00FB2FDB" w:rsidRDefault="00341349" w:rsidP="00FB2FDB">
      <w:pPr>
        <w:autoSpaceDE w:val="0"/>
        <w:autoSpaceDN w:val="0"/>
        <w:adjustRightInd w:val="0"/>
        <w:spacing w:after="120"/>
        <w:jc w:val="both"/>
        <w:rPr>
          <w:rFonts w:ascii="Century Gothic" w:hAnsi="Century Gothic"/>
          <w:sz w:val="20"/>
          <w:szCs w:val="20"/>
        </w:rPr>
      </w:pPr>
      <w:r w:rsidRPr="00FB2FDB">
        <w:rPr>
          <w:rFonts w:ascii="Century Gothic" w:hAnsi="Century Gothic"/>
          <w:sz w:val="20"/>
          <w:szCs w:val="20"/>
        </w:rPr>
        <w:t xml:space="preserve">PARENTE, J. </w:t>
      </w:r>
      <w:r w:rsidRPr="00FB2FDB">
        <w:rPr>
          <w:rFonts w:ascii="Century Gothic" w:hAnsi="Century Gothic"/>
          <w:i/>
          <w:sz w:val="20"/>
          <w:szCs w:val="20"/>
        </w:rPr>
        <w:t>Varejo no Brasil: gestão e estratégia</w:t>
      </w:r>
      <w:r w:rsidRPr="00FB2FDB">
        <w:rPr>
          <w:rFonts w:ascii="Century Gothic" w:hAnsi="Century Gothic"/>
          <w:sz w:val="20"/>
          <w:szCs w:val="20"/>
        </w:rPr>
        <w:t>. São Paulo: Atlas, 2000</w:t>
      </w:r>
    </w:p>
    <w:p w:rsidR="00341349" w:rsidRPr="00FB2FDB" w:rsidRDefault="00341349" w:rsidP="00FB2FDB">
      <w:pPr>
        <w:spacing w:after="120"/>
        <w:jc w:val="both"/>
        <w:rPr>
          <w:rFonts w:ascii="Century Gothic" w:hAnsi="Century Gothic"/>
          <w:sz w:val="20"/>
          <w:szCs w:val="20"/>
        </w:rPr>
      </w:pPr>
      <w:r w:rsidRPr="00FB2FDB">
        <w:rPr>
          <w:rFonts w:ascii="Century Gothic" w:hAnsi="Century Gothic"/>
          <w:noProof/>
          <w:sz w:val="20"/>
          <w:szCs w:val="20"/>
        </w:rPr>
        <w:t xml:space="preserve">REIS, A. J. </w:t>
      </w:r>
      <w:r w:rsidRPr="00FB2FDB">
        <w:rPr>
          <w:rFonts w:ascii="Century Gothic" w:hAnsi="Century Gothic"/>
          <w:bCs/>
          <w:i/>
          <w:noProof/>
          <w:sz w:val="20"/>
          <w:szCs w:val="20"/>
        </w:rPr>
        <w:t>Comercialização agrícola no contexto agroindustrial</w:t>
      </w:r>
      <w:r w:rsidRPr="00FB2FDB">
        <w:rPr>
          <w:rFonts w:ascii="Century Gothic" w:hAnsi="Century Gothic"/>
          <w:noProof/>
          <w:sz w:val="20"/>
          <w:szCs w:val="20"/>
        </w:rPr>
        <w:t>.</w:t>
      </w:r>
      <w:r w:rsidRPr="00FB2FDB">
        <w:rPr>
          <w:rFonts w:ascii="Century Gothic" w:hAnsi="Century Gothic"/>
          <w:sz w:val="20"/>
          <w:szCs w:val="20"/>
        </w:rPr>
        <w:t xml:space="preserve"> </w:t>
      </w:r>
      <w:r w:rsidRPr="00FB2FDB">
        <w:rPr>
          <w:rFonts w:ascii="Century Gothic" w:hAnsi="Century Gothic"/>
          <w:noProof/>
          <w:sz w:val="20"/>
          <w:szCs w:val="20"/>
        </w:rPr>
        <w:t>Lavras:</w:t>
      </w:r>
      <w:r w:rsidRPr="00FB2FDB">
        <w:rPr>
          <w:rFonts w:ascii="Century Gothic" w:hAnsi="Century Gothic"/>
          <w:sz w:val="20"/>
          <w:szCs w:val="20"/>
        </w:rPr>
        <w:t xml:space="preserve"> </w:t>
      </w:r>
      <w:r w:rsidRPr="00FB2FDB">
        <w:rPr>
          <w:rFonts w:ascii="Century Gothic" w:hAnsi="Century Gothic"/>
          <w:noProof/>
          <w:sz w:val="20"/>
          <w:szCs w:val="20"/>
        </w:rPr>
        <w:t>FAEPE, 1998.</w:t>
      </w:r>
    </w:p>
    <w:p w:rsidR="00341349" w:rsidRPr="00FB2FDB" w:rsidRDefault="00341349" w:rsidP="00FB2FDB">
      <w:pPr>
        <w:spacing w:after="120"/>
        <w:jc w:val="both"/>
        <w:rPr>
          <w:rFonts w:ascii="Century Gothic" w:hAnsi="Century Gothic"/>
          <w:sz w:val="20"/>
          <w:szCs w:val="20"/>
        </w:rPr>
      </w:pPr>
      <w:r w:rsidRPr="002C7B02">
        <w:rPr>
          <w:rFonts w:ascii="Century Gothic" w:hAnsi="Century Gothic"/>
          <w:sz w:val="20"/>
          <w:szCs w:val="20"/>
          <w:lang w:val="en-US"/>
        </w:rPr>
        <w:t>ROSS, S</w:t>
      </w:r>
      <w:r w:rsidR="002C7B02" w:rsidRPr="002C7B02">
        <w:rPr>
          <w:rFonts w:ascii="Century Gothic" w:hAnsi="Century Gothic"/>
          <w:sz w:val="20"/>
          <w:szCs w:val="20"/>
          <w:lang w:val="en-US"/>
        </w:rPr>
        <w:t>.</w:t>
      </w:r>
      <w:r w:rsidRPr="002C7B02">
        <w:rPr>
          <w:rFonts w:ascii="Century Gothic" w:hAnsi="Century Gothic"/>
          <w:sz w:val="20"/>
          <w:szCs w:val="20"/>
          <w:lang w:val="en-US"/>
        </w:rPr>
        <w:t>; WESTERFIELD, R</w:t>
      </w:r>
      <w:r w:rsidR="002C7B02" w:rsidRPr="002C7B02">
        <w:rPr>
          <w:rFonts w:ascii="Century Gothic" w:hAnsi="Century Gothic"/>
          <w:sz w:val="20"/>
          <w:szCs w:val="20"/>
          <w:lang w:val="en-US"/>
        </w:rPr>
        <w:t>.</w:t>
      </w:r>
      <w:r w:rsidRPr="002C7B02">
        <w:rPr>
          <w:rFonts w:ascii="Century Gothic" w:hAnsi="Century Gothic"/>
          <w:sz w:val="20"/>
          <w:szCs w:val="20"/>
          <w:lang w:val="en-US"/>
        </w:rPr>
        <w:t xml:space="preserve"> W.; JAFFE</w:t>
      </w:r>
      <w:proofErr w:type="gramStart"/>
      <w:r w:rsidRPr="002C7B02">
        <w:rPr>
          <w:rFonts w:ascii="Century Gothic" w:hAnsi="Century Gothic"/>
          <w:sz w:val="20"/>
          <w:szCs w:val="20"/>
          <w:lang w:val="en-US"/>
        </w:rPr>
        <w:t xml:space="preserve">, </w:t>
      </w:r>
      <w:r w:rsidR="002C7B02" w:rsidRPr="002C7B02">
        <w:rPr>
          <w:rFonts w:ascii="Century Gothic" w:hAnsi="Century Gothic"/>
          <w:sz w:val="20"/>
          <w:szCs w:val="20"/>
          <w:lang w:val="en-US"/>
        </w:rPr>
        <w:t>.</w:t>
      </w:r>
      <w:proofErr w:type="gramEnd"/>
      <w:r w:rsidRPr="002C7B02">
        <w:rPr>
          <w:rFonts w:ascii="Century Gothic" w:hAnsi="Century Gothic"/>
          <w:sz w:val="20"/>
          <w:szCs w:val="20"/>
          <w:lang w:val="en-US"/>
        </w:rPr>
        <w:t xml:space="preserve"> </w:t>
      </w:r>
      <w:r w:rsidRPr="00FB2FDB">
        <w:rPr>
          <w:rFonts w:ascii="Century Gothic" w:hAnsi="Century Gothic"/>
          <w:sz w:val="20"/>
          <w:szCs w:val="20"/>
        </w:rPr>
        <w:t xml:space="preserve">F. </w:t>
      </w:r>
      <w:r w:rsidRPr="00FB2FDB">
        <w:rPr>
          <w:rFonts w:ascii="Century Gothic" w:hAnsi="Century Gothic"/>
          <w:i/>
          <w:sz w:val="20"/>
          <w:szCs w:val="20"/>
        </w:rPr>
        <w:t xml:space="preserve">Administração financeira: </w:t>
      </w:r>
      <w:proofErr w:type="spellStart"/>
      <w:r w:rsidRPr="00FB2FDB">
        <w:rPr>
          <w:rFonts w:ascii="Century Gothic" w:hAnsi="Century Gothic"/>
          <w:i/>
          <w:sz w:val="20"/>
          <w:szCs w:val="20"/>
        </w:rPr>
        <w:t>corporate</w:t>
      </w:r>
      <w:proofErr w:type="spellEnd"/>
      <w:r w:rsidRPr="00FB2FDB">
        <w:rPr>
          <w:rFonts w:ascii="Century Gothic" w:hAnsi="Century Gothic"/>
          <w:i/>
          <w:sz w:val="20"/>
          <w:szCs w:val="20"/>
        </w:rPr>
        <w:t xml:space="preserve"> </w:t>
      </w:r>
      <w:proofErr w:type="spellStart"/>
      <w:r w:rsidRPr="00FB2FDB">
        <w:rPr>
          <w:rFonts w:ascii="Century Gothic" w:hAnsi="Century Gothic"/>
          <w:i/>
          <w:sz w:val="20"/>
          <w:szCs w:val="20"/>
        </w:rPr>
        <w:t>finance</w:t>
      </w:r>
      <w:proofErr w:type="spellEnd"/>
      <w:r w:rsidRPr="00FB2FDB">
        <w:rPr>
          <w:rFonts w:ascii="Century Gothic" w:hAnsi="Century Gothic"/>
          <w:i/>
          <w:sz w:val="20"/>
          <w:szCs w:val="20"/>
        </w:rPr>
        <w:t>.</w:t>
      </w:r>
      <w:r w:rsidRPr="00FB2FDB">
        <w:rPr>
          <w:rFonts w:ascii="Century Gothic" w:hAnsi="Century Gothic"/>
          <w:sz w:val="20"/>
          <w:szCs w:val="20"/>
        </w:rPr>
        <w:t xml:space="preserve"> São Paulo: Atlas, 2002.</w:t>
      </w:r>
    </w:p>
    <w:p w:rsidR="00341349" w:rsidRPr="00FB2FDB" w:rsidRDefault="0053630B" w:rsidP="00FB2FDB">
      <w:pPr>
        <w:autoSpaceDE w:val="0"/>
        <w:autoSpaceDN w:val="0"/>
        <w:adjustRightInd w:val="0"/>
        <w:spacing w:after="120"/>
        <w:jc w:val="both"/>
        <w:rPr>
          <w:rFonts w:ascii="Century Gothic" w:hAnsi="Century Gothic"/>
          <w:sz w:val="20"/>
          <w:szCs w:val="20"/>
        </w:rPr>
      </w:pPr>
      <w:r>
        <w:rPr>
          <w:rFonts w:ascii="Century Gothic" w:hAnsi="Century Gothic"/>
          <w:sz w:val="20"/>
          <w:szCs w:val="20"/>
        </w:rPr>
        <w:t>RITZMAN, L. P.; KRAJEWSKI, L.J.</w:t>
      </w:r>
      <w:r w:rsidR="00341349" w:rsidRPr="00FB2FDB">
        <w:rPr>
          <w:rFonts w:ascii="Century Gothic" w:hAnsi="Century Gothic"/>
          <w:sz w:val="20"/>
          <w:szCs w:val="20"/>
        </w:rPr>
        <w:t xml:space="preserve"> Administração da Produção e Operações. São Paulo: Person Prentice Hall, 2004.</w:t>
      </w:r>
    </w:p>
    <w:p w:rsidR="00341349" w:rsidRPr="00FB2FDB" w:rsidRDefault="00341349" w:rsidP="00FB2FDB">
      <w:pPr>
        <w:spacing w:after="120"/>
        <w:jc w:val="both"/>
        <w:rPr>
          <w:rFonts w:ascii="Century Gothic" w:hAnsi="Century Gothic"/>
          <w:sz w:val="20"/>
          <w:szCs w:val="20"/>
        </w:rPr>
      </w:pPr>
      <w:r w:rsidRPr="00FB2FDB">
        <w:rPr>
          <w:rFonts w:ascii="Century Gothic" w:hAnsi="Century Gothic"/>
          <w:sz w:val="20"/>
          <w:szCs w:val="20"/>
        </w:rPr>
        <w:t xml:space="preserve">SAAB JUNIOR, Joseph </w:t>
      </w:r>
      <w:proofErr w:type="spellStart"/>
      <w:r w:rsidRPr="00FB2FDB">
        <w:rPr>
          <w:rFonts w:ascii="Century Gothic" w:hAnsi="Century Gothic"/>
          <w:sz w:val="20"/>
          <w:szCs w:val="20"/>
        </w:rPr>
        <w:t>Youssif</w:t>
      </w:r>
      <w:proofErr w:type="spellEnd"/>
      <w:r w:rsidRPr="00FB2FDB">
        <w:rPr>
          <w:rFonts w:ascii="Century Gothic" w:hAnsi="Century Gothic"/>
          <w:sz w:val="20"/>
          <w:szCs w:val="20"/>
        </w:rPr>
        <w:t xml:space="preserve">; CORRÊA, Henrique Luiz. Cadeia de Abastecimento: gestão do estoque pelo distribuidor. </w:t>
      </w:r>
      <w:r w:rsidRPr="00FB2FDB">
        <w:rPr>
          <w:rFonts w:ascii="Century Gothic" w:hAnsi="Century Gothic"/>
          <w:i/>
          <w:sz w:val="20"/>
          <w:szCs w:val="20"/>
        </w:rPr>
        <w:t>Revista de Administração de Empresas RAE</w:t>
      </w:r>
      <w:r w:rsidRPr="00FB2FDB">
        <w:rPr>
          <w:rFonts w:ascii="Century Gothic" w:hAnsi="Century Gothic"/>
          <w:sz w:val="20"/>
          <w:szCs w:val="20"/>
        </w:rPr>
        <w:t xml:space="preserve">. São Paulo: Fundação Getúlio Vargas, v. 48, n.1, </w:t>
      </w:r>
    </w:p>
    <w:p w:rsidR="00341349" w:rsidRPr="00FB2FDB" w:rsidRDefault="00341349" w:rsidP="00FB2FDB">
      <w:pPr>
        <w:pStyle w:val="Textodenotaderodap"/>
        <w:spacing w:after="120"/>
        <w:jc w:val="both"/>
        <w:rPr>
          <w:rFonts w:ascii="Century Gothic" w:hAnsi="Century Gothic"/>
        </w:rPr>
      </w:pPr>
      <w:r w:rsidRPr="00FB2FDB">
        <w:rPr>
          <w:rFonts w:ascii="Century Gothic" w:hAnsi="Century Gothic"/>
          <w:noProof/>
          <w:lang w:val="en-US"/>
        </w:rPr>
        <w:t xml:space="preserve">SHARMA, S. </w:t>
      </w:r>
      <w:r w:rsidRPr="00FB2FDB">
        <w:rPr>
          <w:rFonts w:ascii="Century Gothic" w:hAnsi="Century Gothic"/>
          <w:bCs/>
          <w:i/>
          <w:noProof/>
          <w:lang w:val="en-US"/>
        </w:rPr>
        <w:t>Applied multivariate techniques</w:t>
      </w:r>
      <w:r w:rsidRPr="00FB2FDB">
        <w:rPr>
          <w:rFonts w:ascii="Century Gothic" w:hAnsi="Century Gothic"/>
          <w:noProof/>
          <w:lang w:val="en-US"/>
        </w:rPr>
        <w:t>.</w:t>
      </w:r>
      <w:r w:rsidRPr="00FB2FDB">
        <w:rPr>
          <w:rFonts w:ascii="Century Gothic" w:hAnsi="Century Gothic"/>
          <w:lang w:val="en-US"/>
        </w:rPr>
        <w:t xml:space="preserve"> </w:t>
      </w:r>
      <w:r w:rsidRPr="00FB2FDB">
        <w:rPr>
          <w:rFonts w:ascii="Century Gothic" w:hAnsi="Century Gothic"/>
          <w:noProof/>
        </w:rPr>
        <w:t>USA:</w:t>
      </w:r>
      <w:r w:rsidRPr="00FB2FDB">
        <w:rPr>
          <w:rFonts w:ascii="Century Gothic" w:hAnsi="Century Gothic"/>
        </w:rPr>
        <w:t xml:space="preserve"> </w:t>
      </w:r>
      <w:r w:rsidRPr="00FB2FDB">
        <w:rPr>
          <w:rFonts w:ascii="Century Gothic" w:hAnsi="Century Gothic"/>
          <w:noProof/>
        </w:rPr>
        <w:t>John Wiley &amp; Sons, 1996. vou conferir</w:t>
      </w:r>
    </w:p>
    <w:p w:rsidR="00341349" w:rsidRPr="00FB2FDB" w:rsidRDefault="00341349" w:rsidP="00FB2FDB">
      <w:pPr>
        <w:spacing w:after="120"/>
        <w:jc w:val="both"/>
        <w:rPr>
          <w:rFonts w:ascii="Century Gothic" w:hAnsi="Century Gothic"/>
          <w:sz w:val="20"/>
          <w:szCs w:val="20"/>
        </w:rPr>
      </w:pPr>
      <w:r w:rsidRPr="00FB2FDB">
        <w:rPr>
          <w:rFonts w:ascii="Century Gothic" w:hAnsi="Century Gothic"/>
          <w:sz w:val="20"/>
          <w:szCs w:val="20"/>
        </w:rPr>
        <w:t>SILVA, A</w:t>
      </w:r>
      <w:r w:rsidR="002C7B02">
        <w:rPr>
          <w:rFonts w:ascii="Century Gothic" w:hAnsi="Century Gothic"/>
          <w:sz w:val="20"/>
          <w:szCs w:val="20"/>
        </w:rPr>
        <w:t>.</w:t>
      </w:r>
      <w:r w:rsidRPr="00FB2FDB">
        <w:rPr>
          <w:rFonts w:ascii="Century Gothic" w:hAnsi="Century Gothic"/>
          <w:sz w:val="20"/>
          <w:szCs w:val="20"/>
        </w:rPr>
        <w:t xml:space="preserve"> M</w:t>
      </w:r>
      <w:r w:rsidR="002C7B02">
        <w:rPr>
          <w:rFonts w:ascii="Century Gothic" w:hAnsi="Century Gothic"/>
          <w:sz w:val="20"/>
          <w:szCs w:val="20"/>
        </w:rPr>
        <w:t>.</w:t>
      </w:r>
      <w:r w:rsidRPr="00FB2FDB">
        <w:rPr>
          <w:rFonts w:ascii="Century Gothic" w:hAnsi="Century Gothic"/>
          <w:sz w:val="20"/>
          <w:szCs w:val="20"/>
        </w:rPr>
        <w:t xml:space="preserve"> L</w:t>
      </w:r>
      <w:r w:rsidR="002C7B02">
        <w:rPr>
          <w:rFonts w:ascii="Century Gothic" w:hAnsi="Century Gothic"/>
          <w:sz w:val="20"/>
          <w:szCs w:val="20"/>
        </w:rPr>
        <w:t>.</w:t>
      </w:r>
      <w:r w:rsidRPr="00FB2FDB">
        <w:rPr>
          <w:rFonts w:ascii="Century Gothic" w:hAnsi="Century Gothic"/>
          <w:sz w:val="20"/>
          <w:szCs w:val="20"/>
        </w:rPr>
        <w:t xml:space="preserve"> </w:t>
      </w:r>
      <w:proofErr w:type="spellStart"/>
      <w:r w:rsidRPr="00FB2FDB">
        <w:rPr>
          <w:rFonts w:ascii="Century Gothic" w:hAnsi="Century Gothic"/>
          <w:sz w:val="20"/>
          <w:szCs w:val="20"/>
        </w:rPr>
        <w:t>da</w:t>
      </w:r>
      <w:proofErr w:type="spellEnd"/>
      <w:r w:rsidRPr="00FB2FDB">
        <w:rPr>
          <w:rFonts w:ascii="Century Gothic" w:hAnsi="Century Gothic"/>
          <w:sz w:val="20"/>
          <w:szCs w:val="20"/>
        </w:rPr>
        <w:t>; CAVALCANTI, G</w:t>
      </w:r>
      <w:r w:rsidR="002C7B02">
        <w:rPr>
          <w:rFonts w:ascii="Century Gothic" w:hAnsi="Century Gothic"/>
          <w:sz w:val="20"/>
          <w:szCs w:val="20"/>
        </w:rPr>
        <w:t>.</w:t>
      </w:r>
      <w:r w:rsidRPr="00FB2FDB">
        <w:rPr>
          <w:rFonts w:ascii="Century Gothic" w:hAnsi="Century Gothic"/>
          <w:sz w:val="20"/>
          <w:szCs w:val="20"/>
        </w:rPr>
        <w:t xml:space="preserve"> de A. A Lucratividade Inerente e Implícita no Estoque na Análise de Liquidez Estática. </w:t>
      </w:r>
      <w:r w:rsidRPr="00FB2FDB">
        <w:rPr>
          <w:rFonts w:ascii="Century Gothic" w:hAnsi="Century Gothic"/>
          <w:i/>
          <w:sz w:val="20"/>
          <w:szCs w:val="20"/>
        </w:rPr>
        <w:t>Revista de Administração Contemporânea RAC</w:t>
      </w:r>
      <w:r w:rsidRPr="00FB2FDB">
        <w:rPr>
          <w:rFonts w:ascii="Century Gothic" w:hAnsi="Century Gothic"/>
          <w:sz w:val="20"/>
          <w:szCs w:val="20"/>
        </w:rPr>
        <w:t>. Curitiba: ANPAD, v. 8, n. 4, Out./Dez. 2004.</w:t>
      </w:r>
    </w:p>
    <w:p w:rsidR="00341349" w:rsidRPr="00FB2FDB" w:rsidRDefault="00341349" w:rsidP="00FB2FDB">
      <w:pPr>
        <w:autoSpaceDE w:val="0"/>
        <w:autoSpaceDN w:val="0"/>
        <w:adjustRightInd w:val="0"/>
        <w:spacing w:after="120"/>
        <w:jc w:val="both"/>
        <w:rPr>
          <w:rFonts w:ascii="Century Gothic" w:hAnsi="Century Gothic"/>
          <w:sz w:val="20"/>
          <w:szCs w:val="20"/>
        </w:rPr>
      </w:pPr>
      <w:r w:rsidRPr="00FB2FDB">
        <w:rPr>
          <w:rFonts w:ascii="Century Gothic" w:hAnsi="Century Gothic"/>
          <w:sz w:val="20"/>
          <w:szCs w:val="20"/>
        </w:rPr>
        <w:t xml:space="preserve">SLACK, N.; CHAMBERS; S.; JOHNSTON; R. </w:t>
      </w:r>
      <w:r w:rsidRPr="00FB2FDB">
        <w:rPr>
          <w:rFonts w:ascii="Century Gothic" w:hAnsi="Century Gothic"/>
          <w:i/>
          <w:iCs/>
          <w:sz w:val="20"/>
          <w:szCs w:val="20"/>
        </w:rPr>
        <w:t>Administração da produção</w:t>
      </w:r>
      <w:r w:rsidRPr="00FB2FDB">
        <w:rPr>
          <w:rFonts w:ascii="Century Gothic" w:hAnsi="Century Gothic"/>
          <w:sz w:val="20"/>
          <w:szCs w:val="20"/>
        </w:rPr>
        <w:t>. 2.ed. São Paulo: Atlas, 2002.</w:t>
      </w:r>
    </w:p>
    <w:p w:rsidR="00341349" w:rsidRPr="00FB2FDB" w:rsidRDefault="00341349" w:rsidP="00FB2FDB">
      <w:pPr>
        <w:autoSpaceDE w:val="0"/>
        <w:autoSpaceDN w:val="0"/>
        <w:adjustRightInd w:val="0"/>
        <w:spacing w:after="120"/>
        <w:jc w:val="both"/>
        <w:rPr>
          <w:rFonts w:ascii="Century Gothic" w:hAnsi="Century Gothic"/>
          <w:sz w:val="20"/>
          <w:szCs w:val="20"/>
        </w:rPr>
      </w:pPr>
      <w:r w:rsidRPr="00FB2FDB">
        <w:rPr>
          <w:rFonts w:ascii="Century Gothic" w:hAnsi="Century Gothic"/>
          <w:sz w:val="20"/>
          <w:szCs w:val="20"/>
          <w:lang w:val="en-US"/>
        </w:rPr>
        <w:t xml:space="preserve">SLACK, N.; CHAMBERS, S.; JONHSTON, R; BETTS, Alan. </w:t>
      </w:r>
      <w:r w:rsidRPr="00FB2FDB">
        <w:rPr>
          <w:rFonts w:ascii="Century Gothic" w:hAnsi="Century Gothic"/>
          <w:bCs/>
          <w:i/>
          <w:sz w:val="20"/>
          <w:szCs w:val="20"/>
        </w:rPr>
        <w:t>Gerenciamento</w:t>
      </w:r>
      <w:r w:rsidR="0053630B">
        <w:rPr>
          <w:rFonts w:ascii="Century Gothic" w:hAnsi="Century Gothic"/>
          <w:bCs/>
          <w:i/>
          <w:sz w:val="20"/>
          <w:szCs w:val="20"/>
        </w:rPr>
        <w:t xml:space="preserve"> </w:t>
      </w:r>
      <w:r w:rsidRPr="00FB2FDB">
        <w:rPr>
          <w:rFonts w:ascii="Century Gothic" w:hAnsi="Century Gothic"/>
          <w:bCs/>
          <w:i/>
          <w:sz w:val="20"/>
          <w:szCs w:val="20"/>
        </w:rPr>
        <w:t>de operações e de processos: princípios e prática de impacto estratégico.</w:t>
      </w:r>
      <w:r w:rsidRPr="00FB2FDB">
        <w:rPr>
          <w:rFonts w:ascii="Century Gothic" w:hAnsi="Century Gothic"/>
          <w:b/>
          <w:bCs/>
          <w:sz w:val="20"/>
          <w:szCs w:val="20"/>
        </w:rPr>
        <w:t xml:space="preserve"> </w:t>
      </w:r>
      <w:r w:rsidRPr="00FB2FDB">
        <w:rPr>
          <w:rFonts w:ascii="Century Gothic" w:hAnsi="Century Gothic"/>
          <w:sz w:val="20"/>
          <w:szCs w:val="20"/>
        </w:rPr>
        <w:t>Porto Alegre:</w:t>
      </w:r>
      <w:r w:rsidR="0011339F">
        <w:rPr>
          <w:rFonts w:ascii="Century Gothic" w:hAnsi="Century Gothic"/>
          <w:sz w:val="20"/>
          <w:szCs w:val="20"/>
        </w:rPr>
        <w:t xml:space="preserve"> </w:t>
      </w:r>
      <w:proofErr w:type="spellStart"/>
      <w:r w:rsidRPr="00FB2FDB">
        <w:rPr>
          <w:rFonts w:ascii="Century Gothic" w:hAnsi="Century Gothic"/>
          <w:sz w:val="20"/>
          <w:szCs w:val="20"/>
        </w:rPr>
        <w:t>Bookman</w:t>
      </w:r>
      <w:proofErr w:type="spellEnd"/>
      <w:r w:rsidRPr="00FB2FDB">
        <w:rPr>
          <w:rFonts w:ascii="Century Gothic" w:hAnsi="Century Gothic"/>
          <w:sz w:val="20"/>
          <w:szCs w:val="20"/>
        </w:rPr>
        <w:t>, 2008</w:t>
      </w:r>
    </w:p>
    <w:p w:rsidR="00341349" w:rsidRPr="00FB2FDB" w:rsidRDefault="00341349" w:rsidP="00FB2FDB">
      <w:pPr>
        <w:autoSpaceDE w:val="0"/>
        <w:autoSpaceDN w:val="0"/>
        <w:adjustRightInd w:val="0"/>
        <w:spacing w:after="120"/>
        <w:jc w:val="both"/>
        <w:rPr>
          <w:rFonts w:ascii="Century Gothic" w:hAnsi="Century Gothic"/>
          <w:sz w:val="20"/>
          <w:szCs w:val="20"/>
        </w:rPr>
      </w:pPr>
      <w:r w:rsidRPr="00FB2FDB">
        <w:rPr>
          <w:rFonts w:ascii="Century Gothic" w:hAnsi="Century Gothic"/>
          <w:sz w:val="20"/>
          <w:szCs w:val="20"/>
        </w:rPr>
        <w:t xml:space="preserve">TUBINO, </w:t>
      </w:r>
      <w:proofErr w:type="spellStart"/>
      <w:r w:rsidRPr="00FB2FDB">
        <w:rPr>
          <w:rFonts w:ascii="Century Gothic" w:hAnsi="Century Gothic"/>
          <w:sz w:val="20"/>
          <w:szCs w:val="20"/>
        </w:rPr>
        <w:t>Dalvio</w:t>
      </w:r>
      <w:proofErr w:type="spellEnd"/>
      <w:r w:rsidRPr="00FB2FDB">
        <w:rPr>
          <w:rFonts w:ascii="Century Gothic" w:hAnsi="Century Gothic"/>
          <w:sz w:val="20"/>
          <w:szCs w:val="20"/>
        </w:rPr>
        <w:t xml:space="preserve"> Ferrari. </w:t>
      </w:r>
      <w:r w:rsidRPr="00FB2FDB">
        <w:rPr>
          <w:rFonts w:ascii="Century Gothic" w:hAnsi="Century Gothic"/>
          <w:bCs/>
          <w:i/>
          <w:sz w:val="20"/>
          <w:szCs w:val="20"/>
        </w:rPr>
        <w:t>Planejamento e controle da produção: teoria e prática</w:t>
      </w:r>
      <w:r w:rsidRPr="00FB2FDB">
        <w:rPr>
          <w:rFonts w:ascii="Century Gothic" w:hAnsi="Century Gothic"/>
          <w:b/>
          <w:bCs/>
          <w:sz w:val="20"/>
          <w:szCs w:val="20"/>
        </w:rPr>
        <w:t xml:space="preserve">. </w:t>
      </w:r>
      <w:r w:rsidRPr="00FB2FDB">
        <w:rPr>
          <w:rFonts w:ascii="Century Gothic" w:hAnsi="Century Gothic"/>
          <w:sz w:val="20"/>
          <w:szCs w:val="20"/>
        </w:rPr>
        <w:t>São</w:t>
      </w:r>
      <w:r w:rsidR="0011339F">
        <w:rPr>
          <w:rFonts w:ascii="Century Gothic" w:hAnsi="Century Gothic"/>
          <w:sz w:val="20"/>
          <w:szCs w:val="20"/>
        </w:rPr>
        <w:t xml:space="preserve"> </w:t>
      </w:r>
      <w:r w:rsidRPr="00FB2FDB">
        <w:rPr>
          <w:rFonts w:ascii="Century Gothic" w:hAnsi="Century Gothic"/>
          <w:sz w:val="20"/>
          <w:szCs w:val="20"/>
        </w:rPr>
        <w:t>Paulo: Atlas, 2007.</w:t>
      </w:r>
    </w:p>
    <w:p w:rsidR="00A83475" w:rsidRPr="00FB2FDB" w:rsidRDefault="00341349" w:rsidP="00FB2FDB">
      <w:pPr>
        <w:spacing w:after="120"/>
        <w:jc w:val="both"/>
        <w:rPr>
          <w:rFonts w:ascii="Century Gothic" w:hAnsi="Century Gothic"/>
          <w:sz w:val="20"/>
          <w:szCs w:val="20"/>
          <w:lang w:val="en-GB"/>
        </w:rPr>
      </w:pPr>
      <w:r w:rsidRPr="00FB2FDB">
        <w:rPr>
          <w:rFonts w:ascii="Century Gothic" w:hAnsi="Century Gothic"/>
          <w:sz w:val="20"/>
          <w:szCs w:val="20"/>
        </w:rPr>
        <w:t xml:space="preserve">WESTON, </w:t>
      </w:r>
      <w:proofErr w:type="gramStart"/>
      <w:r w:rsidRPr="00FB2FDB">
        <w:rPr>
          <w:rFonts w:ascii="Century Gothic" w:hAnsi="Century Gothic"/>
          <w:sz w:val="20"/>
          <w:szCs w:val="20"/>
        </w:rPr>
        <w:t>Fred.;</w:t>
      </w:r>
      <w:proofErr w:type="gramEnd"/>
      <w:r w:rsidRPr="00FB2FDB">
        <w:rPr>
          <w:rFonts w:ascii="Century Gothic" w:hAnsi="Century Gothic"/>
          <w:sz w:val="20"/>
          <w:szCs w:val="20"/>
        </w:rPr>
        <w:t xml:space="preserve"> BRIGHAM, Eugene F. </w:t>
      </w:r>
      <w:r w:rsidRPr="00FB2FDB">
        <w:rPr>
          <w:rFonts w:ascii="Century Gothic" w:hAnsi="Century Gothic"/>
          <w:i/>
          <w:sz w:val="20"/>
          <w:szCs w:val="20"/>
        </w:rPr>
        <w:t>Fundamentos da administração financeira</w:t>
      </w:r>
      <w:r w:rsidRPr="00FB2FDB">
        <w:rPr>
          <w:rFonts w:ascii="Century Gothic" w:hAnsi="Century Gothic"/>
          <w:sz w:val="20"/>
          <w:szCs w:val="20"/>
        </w:rPr>
        <w:t xml:space="preserve">. </w:t>
      </w:r>
      <w:r w:rsidRPr="00FB2FDB">
        <w:rPr>
          <w:rFonts w:ascii="Century Gothic" w:hAnsi="Century Gothic"/>
          <w:sz w:val="20"/>
          <w:szCs w:val="20"/>
          <w:lang w:val="en-GB"/>
        </w:rPr>
        <w:t xml:space="preserve">São Paulo: </w:t>
      </w:r>
      <w:proofErr w:type="spellStart"/>
      <w:r w:rsidRPr="00FB2FDB">
        <w:rPr>
          <w:rFonts w:ascii="Century Gothic" w:hAnsi="Century Gothic"/>
          <w:sz w:val="20"/>
          <w:szCs w:val="20"/>
          <w:lang w:val="en-GB"/>
        </w:rPr>
        <w:t>Makron</w:t>
      </w:r>
      <w:proofErr w:type="spellEnd"/>
      <w:r w:rsidRPr="00FB2FDB">
        <w:rPr>
          <w:rFonts w:ascii="Century Gothic" w:hAnsi="Century Gothic"/>
          <w:sz w:val="20"/>
          <w:szCs w:val="20"/>
          <w:lang w:val="en-GB"/>
        </w:rPr>
        <w:t xml:space="preserve"> Books, 2001.</w:t>
      </w:r>
    </w:p>
    <w:p w:rsidR="00DA428F" w:rsidRPr="00FB2FDB" w:rsidRDefault="00DA428F" w:rsidP="00FB2FDB">
      <w:pPr>
        <w:jc w:val="both"/>
        <w:rPr>
          <w:rFonts w:ascii="Century Gothic" w:hAnsi="Century Gothic"/>
          <w:sz w:val="20"/>
          <w:szCs w:val="20"/>
        </w:rPr>
      </w:pPr>
    </w:p>
    <w:p w:rsidR="00703B06" w:rsidRPr="00FB2FDB" w:rsidRDefault="00703B06" w:rsidP="00FB2FDB">
      <w:pPr>
        <w:jc w:val="both"/>
        <w:rPr>
          <w:rFonts w:ascii="Century Gothic" w:hAnsi="Century Gothic"/>
          <w:sz w:val="20"/>
          <w:szCs w:val="20"/>
        </w:rPr>
      </w:pPr>
    </w:p>
    <w:p w:rsidR="00797789" w:rsidRPr="00FB2FDB" w:rsidRDefault="00797789" w:rsidP="00FB2FDB">
      <w:pPr>
        <w:jc w:val="both"/>
        <w:rPr>
          <w:rFonts w:ascii="Century Gothic" w:hAnsi="Century Gothic"/>
          <w:sz w:val="20"/>
          <w:szCs w:val="20"/>
        </w:rPr>
      </w:pPr>
    </w:p>
    <w:sectPr w:rsidR="00797789" w:rsidRPr="00FB2FDB" w:rsidSect="0011339F">
      <w:headerReference w:type="even" r:id="rId10"/>
      <w:headerReference w:type="default" r:id="rId11"/>
      <w:footerReference w:type="even" r:id="rId12"/>
      <w:footerReference w:type="default" r:id="rId13"/>
      <w:footerReference w:type="first" r:id="rId14"/>
      <w:pgSz w:w="11907" w:h="16840" w:code="9"/>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39F4" w:rsidRDefault="003739F4" w:rsidP="00341349">
      <w:r>
        <w:separator/>
      </w:r>
    </w:p>
  </w:endnote>
  <w:endnote w:type="continuationSeparator" w:id="0">
    <w:p w:rsidR="003739F4" w:rsidRDefault="003739F4" w:rsidP="00341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verdana, arial">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21E" w:rsidRDefault="0076021E" w:rsidP="0011339F">
    <w:pPr>
      <w:pStyle w:val="Rodap"/>
      <w:pBdr>
        <w:bottom w:val="single" w:sz="12" w:space="1" w:color="auto"/>
      </w:pBdr>
      <w:tabs>
        <w:tab w:val="right" w:pos="9071"/>
      </w:tabs>
      <w:rPr>
        <w:rFonts w:ascii="Century Gothic" w:hAnsi="Century Gothic"/>
        <w:color w:val="000000"/>
        <w:sz w:val="16"/>
        <w:szCs w:val="16"/>
      </w:rPr>
    </w:pPr>
  </w:p>
  <w:p w:rsidR="0076021E" w:rsidRDefault="0076021E" w:rsidP="0011339F">
    <w:pPr>
      <w:pStyle w:val="Rodap"/>
      <w:tabs>
        <w:tab w:val="left" w:pos="8340"/>
        <w:tab w:val="right" w:pos="9071"/>
      </w:tabs>
      <w:rPr>
        <w:rFonts w:ascii="Century Gothic" w:hAnsi="Century Gothic"/>
        <w:color w:val="000000"/>
        <w:sz w:val="18"/>
      </w:rPr>
    </w:pPr>
    <w:r w:rsidRPr="000F29A9">
      <w:rPr>
        <w:rFonts w:ascii="Century Gothic" w:hAnsi="Century Gothic"/>
        <w:color w:val="000000"/>
        <w:sz w:val="18"/>
      </w:rPr>
      <w:t xml:space="preserve">Revista Contabilidade Vista e Revista, ISSN 0103-734X, Universidade Federal de Minas </w:t>
    </w:r>
    <w:proofErr w:type="gramStart"/>
    <w:r w:rsidRPr="000F29A9">
      <w:rPr>
        <w:rFonts w:ascii="Century Gothic" w:hAnsi="Century Gothic"/>
        <w:color w:val="000000"/>
        <w:sz w:val="18"/>
      </w:rPr>
      <w:t>Gerais,</w:t>
    </w:r>
    <w:r w:rsidRPr="000F29A9">
      <w:rPr>
        <w:rFonts w:ascii="Century Gothic" w:hAnsi="Century Gothic"/>
        <w:color w:val="000000"/>
        <w:sz w:val="18"/>
      </w:rPr>
      <w:tab/>
    </w:r>
    <w:proofErr w:type="gramEnd"/>
    <w:r>
      <w:rPr>
        <w:rFonts w:ascii="Century Gothic" w:hAnsi="Century Gothic"/>
        <w:color w:val="000000"/>
        <w:sz w:val="18"/>
      </w:rPr>
      <w:tab/>
    </w:r>
    <w:r>
      <w:rPr>
        <w:rFonts w:ascii="Century Gothic" w:hAnsi="Century Gothic"/>
        <w:color w:val="000000"/>
        <w:sz w:val="18"/>
      </w:rPr>
      <w:tab/>
    </w:r>
    <w:r w:rsidRPr="003448BE">
      <w:rPr>
        <w:rFonts w:ascii="Century Gothic" w:hAnsi="Century Gothic"/>
        <w:color w:val="000000"/>
        <w:sz w:val="18"/>
      </w:rPr>
      <w:fldChar w:fldCharType="begin"/>
    </w:r>
    <w:r w:rsidRPr="000F29A9">
      <w:rPr>
        <w:rFonts w:ascii="Century Gothic" w:hAnsi="Century Gothic"/>
        <w:color w:val="000000"/>
        <w:sz w:val="18"/>
      </w:rPr>
      <w:instrText xml:space="preserve"> PAGE   \* MERGEFORMAT </w:instrText>
    </w:r>
    <w:r w:rsidRPr="003448BE">
      <w:rPr>
        <w:rFonts w:ascii="Century Gothic" w:hAnsi="Century Gothic"/>
        <w:color w:val="000000"/>
        <w:sz w:val="18"/>
      </w:rPr>
      <w:fldChar w:fldCharType="separate"/>
    </w:r>
    <w:r w:rsidR="002C7B02">
      <w:rPr>
        <w:rFonts w:ascii="Century Gothic" w:hAnsi="Century Gothic"/>
        <w:noProof/>
        <w:color w:val="000000"/>
        <w:sz w:val="18"/>
      </w:rPr>
      <w:t>12</w:t>
    </w:r>
    <w:r w:rsidRPr="003448BE">
      <w:rPr>
        <w:rFonts w:ascii="Century Gothic" w:hAnsi="Century Gothic"/>
        <w:color w:val="000000"/>
        <w:sz w:val="18"/>
      </w:rPr>
      <w:fldChar w:fldCharType="end"/>
    </w:r>
  </w:p>
  <w:p w:rsidR="0076021E" w:rsidRPr="00F26C69" w:rsidRDefault="0076021E" w:rsidP="0011339F">
    <w:pPr>
      <w:pStyle w:val="Rodap"/>
      <w:tabs>
        <w:tab w:val="left" w:pos="8340"/>
        <w:tab w:val="right" w:pos="9071"/>
      </w:tabs>
      <w:rPr>
        <w:rFonts w:ascii="Century Gothic" w:hAnsi="Century Gothic"/>
        <w:color w:val="000000"/>
        <w:sz w:val="18"/>
      </w:rPr>
    </w:pPr>
    <w:r w:rsidRPr="0061233D">
      <w:rPr>
        <w:rFonts w:ascii="Century Gothic" w:hAnsi="Century Gothic"/>
        <w:color w:val="000000"/>
        <w:sz w:val="18"/>
      </w:rPr>
      <w:t>Belo Horizonte, v. 27, n. 3, set/dez. 2016.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21E" w:rsidRDefault="0076021E" w:rsidP="0011339F">
    <w:pPr>
      <w:pStyle w:val="Rodap"/>
      <w:pBdr>
        <w:bottom w:val="single" w:sz="12" w:space="1" w:color="auto"/>
      </w:pBdr>
      <w:tabs>
        <w:tab w:val="right" w:pos="9071"/>
      </w:tabs>
      <w:rPr>
        <w:rFonts w:ascii="Century Gothic" w:hAnsi="Century Gothic"/>
        <w:color w:val="000000"/>
        <w:sz w:val="16"/>
        <w:szCs w:val="16"/>
      </w:rPr>
    </w:pPr>
  </w:p>
  <w:p w:rsidR="0076021E" w:rsidRDefault="0076021E" w:rsidP="0011339F">
    <w:pPr>
      <w:pStyle w:val="Rodap"/>
      <w:tabs>
        <w:tab w:val="left" w:pos="8340"/>
        <w:tab w:val="right" w:pos="9071"/>
      </w:tabs>
      <w:rPr>
        <w:rFonts w:ascii="Century Gothic" w:hAnsi="Century Gothic"/>
        <w:color w:val="000000"/>
        <w:sz w:val="18"/>
      </w:rPr>
    </w:pPr>
    <w:r w:rsidRPr="000F29A9">
      <w:rPr>
        <w:rFonts w:ascii="Century Gothic" w:hAnsi="Century Gothic"/>
        <w:color w:val="000000"/>
        <w:sz w:val="18"/>
      </w:rPr>
      <w:t xml:space="preserve">Revista Contabilidade Vista e Revista, ISSN 0103-734X, Universidade Federal de Minas </w:t>
    </w:r>
    <w:proofErr w:type="gramStart"/>
    <w:r w:rsidRPr="000F29A9">
      <w:rPr>
        <w:rFonts w:ascii="Century Gothic" w:hAnsi="Century Gothic"/>
        <w:color w:val="000000"/>
        <w:sz w:val="18"/>
      </w:rPr>
      <w:t>Gerais,</w:t>
    </w:r>
    <w:r w:rsidRPr="000F29A9">
      <w:rPr>
        <w:rFonts w:ascii="Century Gothic" w:hAnsi="Century Gothic"/>
        <w:color w:val="000000"/>
        <w:sz w:val="18"/>
      </w:rPr>
      <w:tab/>
    </w:r>
    <w:proofErr w:type="gramEnd"/>
    <w:r>
      <w:rPr>
        <w:rFonts w:ascii="Century Gothic" w:hAnsi="Century Gothic"/>
        <w:color w:val="000000"/>
        <w:sz w:val="18"/>
      </w:rPr>
      <w:tab/>
    </w:r>
    <w:r>
      <w:rPr>
        <w:rFonts w:ascii="Century Gothic" w:hAnsi="Century Gothic"/>
        <w:color w:val="000000"/>
        <w:sz w:val="18"/>
      </w:rPr>
      <w:tab/>
    </w:r>
    <w:r w:rsidRPr="003448BE">
      <w:rPr>
        <w:rFonts w:ascii="Century Gothic" w:hAnsi="Century Gothic"/>
        <w:color w:val="000000"/>
        <w:sz w:val="18"/>
      </w:rPr>
      <w:fldChar w:fldCharType="begin"/>
    </w:r>
    <w:r w:rsidRPr="000F29A9">
      <w:rPr>
        <w:rFonts w:ascii="Century Gothic" w:hAnsi="Century Gothic"/>
        <w:color w:val="000000"/>
        <w:sz w:val="18"/>
      </w:rPr>
      <w:instrText xml:space="preserve"> PAGE   \* MERGEFORMAT </w:instrText>
    </w:r>
    <w:r w:rsidRPr="003448BE">
      <w:rPr>
        <w:rFonts w:ascii="Century Gothic" w:hAnsi="Century Gothic"/>
        <w:color w:val="000000"/>
        <w:sz w:val="18"/>
      </w:rPr>
      <w:fldChar w:fldCharType="separate"/>
    </w:r>
    <w:r w:rsidR="002C7B02">
      <w:rPr>
        <w:rFonts w:ascii="Century Gothic" w:hAnsi="Century Gothic"/>
        <w:noProof/>
        <w:color w:val="000000"/>
        <w:sz w:val="18"/>
      </w:rPr>
      <w:t>11</w:t>
    </w:r>
    <w:r w:rsidRPr="003448BE">
      <w:rPr>
        <w:rFonts w:ascii="Century Gothic" w:hAnsi="Century Gothic"/>
        <w:color w:val="000000"/>
        <w:sz w:val="18"/>
      </w:rPr>
      <w:fldChar w:fldCharType="end"/>
    </w:r>
  </w:p>
  <w:p w:rsidR="0076021E" w:rsidRPr="00F26C69" w:rsidRDefault="0076021E" w:rsidP="0011339F">
    <w:pPr>
      <w:pStyle w:val="Rodap"/>
      <w:tabs>
        <w:tab w:val="left" w:pos="8340"/>
        <w:tab w:val="right" w:pos="9071"/>
      </w:tabs>
      <w:rPr>
        <w:rFonts w:ascii="Century Gothic" w:hAnsi="Century Gothic"/>
        <w:color w:val="000000"/>
        <w:sz w:val="18"/>
      </w:rPr>
    </w:pPr>
    <w:r w:rsidRPr="0061233D">
      <w:rPr>
        <w:rFonts w:ascii="Century Gothic" w:hAnsi="Century Gothic"/>
        <w:color w:val="000000"/>
        <w:sz w:val="18"/>
      </w:rPr>
      <w:t>Belo Horizonte, v. 27, n. 3, set/dez.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21E" w:rsidRDefault="0076021E" w:rsidP="0011339F">
    <w:pPr>
      <w:pStyle w:val="Rodap"/>
      <w:pBdr>
        <w:bottom w:val="single" w:sz="12" w:space="1" w:color="auto"/>
      </w:pBdr>
      <w:tabs>
        <w:tab w:val="right" w:pos="9071"/>
      </w:tabs>
      <w:rPr>
        <w:rFonts w:ascii="Century Gothic" w:hAnsi="Century Gothic"/>
        <w:color w:val="000000"/>
        <w:sz w:val="16"/>
        <w:szCs w:val="16"/>
      </w:rPr>
    </w:pPr>
  </w:p>
  <w:p w:rsidR="0076021E" w:rsidRDefault="0076021E" w:rsidP="0011339F">
    <w:pPr>
      <w:pStyle w:val="Rodap"/>
      <w:tabs>
        <w:tab w:val="left" w:pos="8340"/>
        <w:tab w:val="right" w:pos="9071"/>
      </w:tabs>
      <w:rPr>
        <w:rFonts w:ascii="Century Gothic" w:hAnsi="Century Gothic"/>
        <w:color w:val="000000"/>
        <w:sz w:val="18"/>
      </w:rPr>
    </w:pPr>
    <w:r w:rsidRPr="000F29A9">
      <w:rPr>
        <w:rFonts w:ascii="Century Gothic" w:hAnsi="Century Gothic"/>
        <w:color w:val="000000"/>
        <w:sz w:val="18"/>
      </w:rPr>
      <w:t xml:space="preserve">Revista Contabilidade Vista e Revista, ISSN 0103-734X, Universidade Federal de Minas </w:t>
    </w:r>
    <w:proofErr w:type="gramStart"/>
    <w:r w:rsidRPr="000F29A9">
      <w:rPr>
        <w:rFonts w:ascii="Century Gothic" w:hAnsi="Century Gothic"/>
        <w:color w:val="000000"/>
        <w:sz w:val="18"/>
      </w:rPr>
      <w:t>Gerais,</w:t>
    </w:r>
    <w:r w:rsidRPr="000F29A9">
      <w:rPr>
        <w:rFonts w:ascii="Century Gothic" w:hAnsi="Century Gothic"/>
        <w:color w:val="000000"/>
        <w:sz w:val="18"/>
      </w:rPr>
      <w:tab/>
    </w:r>
    <w:proofErr w:type="gramEnd"/>
    <w:r>
      <w:rPr>
        <w:rFonts w:ascii="Century Gothic" w:hAnsi="Century Gothic"/>
        <w:color w:val="000000"/>
        <w:sz w:val="18"/>
      </w:rPr>
      <w:tab/>
    </w:r>
    <w:r>
      <w:rPr>
        <w:rFonts w:ascii="Century Gothic" w:hAnsi="Century Gothic"/>
        <w:color w:val="000000"/>
        <w:sz w:val="18"/>
      </w:rPr>
      <w:tab/>
    </w:r>
    <w:r w:rsidRPr="003448BE">
      <w:rPr>
        <w:rFonts w:ascii="Century Gothic" w:hAnsi="Century Gothic"/>
        <w:color w:val="000000"/>
        <w:sz w:val="18"/>
      </w:rPr>
      <w:fldChar w:fldCharType="begin"/>
    </w:r>
    <w:r w:rsidRPr="000F29A9">
      <w:rPr>
        <w:rFonts w:ascii="Century Gothic" w:hAnsi="Century Gothic"/>
        <w:color w:val="000000"/>
        <w:sz w:val="18"/>
      </w:rPr>
      <w:instrText xml:space="preserve"> PAGE   \* MERGEFORMAT </w:instrText>
    </w:r>
    <w:r w:rsidRPr="003448BE">
      <w:rPr>
        <w:rFonts w:ascii="Century Gothic" w:hAnsi="Century Gothic"/>
        <w:color w:val="000000"/>
        <w:sz w:val="18"/>
      </w:rPr>
      <w:fldChar w:fldCharType="separate"/>
    </w:r>
    <w:r w:rsidR="002C7B02">
      <w:rPr>
        <w:rFonts w:ascii="Century Gothic" w:hAnsi="Century Gothic"/>
        <w:noProof/>
        <w:color w:val="000000"/>
        <w:sz w:val="18"/>
      </w:rPr>
      <w:t>1</w:t>
    </w:r>
    <w:r w:rsidRPr="003448BE">
      <w:rPr>
        <w:rFonts w:ascii="Century Gothic" w:hAnsi="Century Gothic"/>
        <w:color w:val="000000"/>
        <w:sz w:val="18"/>
      </w:rPr>
      <w:fldChar w:fldCharType="end"/>
    </w:r>
  </w:p>
  <w:p w:rsidR="0076021E" w:rsidRPr="00F26C69" w:rsidRDefault="0076021E" w:rsidP="0011339F">
    <w:pPr>
      <w:pStyle w:val="Rodap"/>
      <w:tabs>
        <w:tab w:val="left" w:pos="8340"/>
        <w:tab w:val="right" w:pos="9071"/>
      </w:tabs>
      <w:rPr>
        <w:rFonts w:ascii="Century Gothic" w:hAnsi="Century Gothic"/>
        <w:color w:val="000000"/>
        <w:sz w:val="18"/>
      </w:rPr>
    </w:pPr>
    <w:r w:rsidRPr="0061233D">
      <w:rPr>
        <w:rFonts w:ascii="Century Gothic" w:hAnsi="Century Gothic"/>
        <w:color w:val="000000"/>
        <w:sz w:val="18"/>
      </w:rPr>
      <w:t>Belo Horizonte, v. 27, n. 3, set/dez.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39F4" w:rsidRDefault="003739F4" w:rsidP="00341349">
      <w:r>
        <w:separator/>
      </w:r>
    </w:p>
  </w:footnote>
  <w:footnote w:type="continuationSeparator" w:id="0">
    <w:p w:rsidR="003739F4" w:rsidRDefault="003739F4" w:rsidP="00341349">
      <w:r>
        <w:continuationSeparator/>
      </w:r>
    </w:p>
  </w:footnote>
  <w:footnote w:id="1">
    <w:p w:rsidR="0076021E" w:rsidRPr="006C2E11" w:rsidRDefault="0076021E" w:rsidP="00916031">
      <w:pPr>
        <w:jc w:val="both"/>
        <w:rPr>
          <w:rFonts w:ascii="Century Gothic" w:hAnsi="Century Gothic"/>
          <w:sz w:val="20"/>
          <w:szCs w:val="20"/>
        </w:rPr>
      </w:pPr>
      <w:r w:rsidRPr="006C2E11">
        <w:rPr>
          <w:rStyle w:val="Refdenotaderodap"/>
          <w:rFonts w:ascii="Century Gothic" w:hAnsi="Century Gothic"/>
          <w:sz w:val="20"/>
          <w:szCs w:val="20"/>
        </w:rPr>
        <w:footnoteRef/>
      </w:r>
      <w:r w:rsidRPr="006C2E11">
        <w:rPr>
          <w:rFonts w:ascii="Century Gothic" w:hAnsi="Century Gothic"/>
          <w:sz w:val="20"/>
          <w:szCs w:val="20"/>
        </w:rPr>
        <w:t xml:space="preserve"> </w:t>
      </w:r>
      <w:r w:rsidRPr="0011339F">
        <w:rPr>
          <w:rFonts w:ascii="Century Gothic" w:hAnsi="Century Gothic"/>
          <w:sz w:val="20"/>
          <w:szCs w:val="20"/>
        </w:rPr>
        <w:t xml:space="preserve">Doutor em Administração. Professor da Universidade </w:t>
      </w:r>
      <w:proofErr w:type="spellStart"/>
      <w:r w:rsidRPr="0011339F">
        <w:rPr>
          <w:rFonts w:ascii="Century Gothic" w:hAnsi="Century Gothic"/>
          <w:sz w:val="20"/>
          <w:szCs w:val="20"/>
        </w:rPr>
        <w:t>Fumec</w:t>
      </w:r>
      <w:proofErr w:type="spellEnd"/>
      <w:r w:rsidRPr="0011339F">
        <w:rPr>
          <w:rFonts w:ascii="Century Gothic" w:hAnsi="Century Gothic"/>
          <w:sz w:val="20"/>
          <w:szCs w:val="20"/>
        </w:rPr>
        <w:t>. Avenida Afonso Pena, 3880, Cruzeiro, BH-MG – 30130-009. E-mail: jose.mesquita@fumec.br</w:t>
      </w:r>
    </w:p>
  </w:footnote>
  <w:footnote w:id="2">
    <w:p w:rsidR="0076021E" w:rsidRPr="006C2E11" w:rsidRDefault="0076021E" w:rsidP="00916031">
      <w:pPr>
        <w:pStyle w:val="NormalWeb"/>
        <w:jc w:val="both"/>
        <w:rPr>
          <w:rFonts w:ascii="Century Gothic" w:hAnsi="Century Gothic"/>
          <w:sz w:val="20"/>
          <w:szCs w:val="20"/>
        </w:rPr>
      </w:pPr>
      <w:r w:rsidRPr="006C2E11">
        <w:rPr>
          <w:rStyle w:val="Refdenotaderodap"/>
          <w:rFonts w:ascii="Century Gothic" w:hAnsi="Century Gothic"/>
          <w:sz w:val="20"/>
          <w:szCs w:val="20"/>
        </w:rPr>
        <w:footnoteRef/>
      </w:r>
      <w:r w:rsidRPr="006C2E11">
        <w:rPr>
          <w:rFonts w:ascii="Century Gothic" w:hAnsi="Century Gothic"/>
          <w:sz w:val="20"/>
          <w:szCs w:val="20"/>
        </w:rPr>
        <w:t xml:space="preserve"> </w:t>
      </w:r>
      <w:r w:rsidRPr="0011339F">
        <w:rPr>
          <w:rFonts w:ascii="Century Gothic" w:hAnsi="Century Gothic"/>
          <w:sz w:val="20"/>
          <w:szCs w:val="20"/>
        </w:rPr>
        <w:t xml:space="preserve">Doutor em Administração. Professor da Universidade </w:t>
      </w:r>
      <w:proofErr w:type="spellStart"/>
      <w:r w:rsidRPr="0011339F">
        <w:rPr>
          <w:rFonts w:ascii="Century Gothic" w:hAnsi="Century Gothic"/>
          <w:sz w:val="20"/>
          <w:szCs w:val="20"/>
        </w:rPr>
        <w:t>Fumec</w:t>
      </w:r>
      <w:proofErr w:type="spellEnd"/>
      <w:r w:rsidRPr="0011339F">
        <w:rPr>
          <w:rFonts w:ascii="Century Gothic" w:hAnsi="Century Gothic"/>
          <w:sz w:val="20"/>
          <w:szCs w:val="20"/>
        </w:rPr>
        <w:t>. Avenida Afonso Pena, 3880, Cruzeiro, BH-MG – 30130-009. E-mail: henrique.martins@fumec.br</w:t>
      </w:r>
    </w:p>
  </w:footnote>
  <w:footnote w:id="3">
    <w:p w:rsidR="0076021E" w:rsidRPr="006C2E11" w:rsidRDefault="0076021E" w:rsidP="00916031">
      <w:pPr>
        <w:pStyle w:val="NormalWeb"/>
        <w:jc w:val="both"/>
        <w:rPr>
          <w:rFonts w:ascii="Century Gothic" w:hAnsi="Century Gothic"/>
          <w:sz w:val="20"/>
          <w:szCs w:val="20"/>
        </w:rPr>
      </w:pPr>
      <w:r w:rsidRPr="006C2E11">
        <w:rPr>
          <w:rStyle w:val="Refdenotaderodap"/>
          <w:rFonts w:ascii="Century Gothic" w:hAnsi="Century Gothic"/>
          <w:sz w:val="20"/>
          <w:szCs w:val="20"/>
        </w:rPr>
        <w:footnoteRef/>
      </w:r>
      <w:r w:rsidRPr="006C2E11">
        <w:rPr>
          <w:rFonts w:ascii="Century Gothic" w:hAnsi="Century Gothic"/>
          <w:sz w:val="20"/>
          <w:szCs w:val="20"/>
        </w:rPr>
        <w:t xml:space="preserve"> </w:t>
      </w:r>
      <w:r w:rsidRPr="0011339F">
        <w:rPr>
          <w:rFonts w:ascii="Century Gothic" w:hAnsi="Century Gothic"/>
          <w:sz w:val="20"/>
          <w:szCs w:val="20"/>
        </w:rPr>
        <w:t xml:space="preserve">Doutor em Administração. Professor da Universidade </w:t>
      </w:r>
      <w:proofErr w:type="spellStart"/>
      <w:r w:rsidRPr="0011339F">
        <w:rPr>
          <w:rFonts w:ascii="Century Gothic" w:hAnsi="Century Gothic"/>
          <w:sz w:val="20"/>
          <w:szCs w:val="20"/>
        </w:rPr>
        <w:t>Fumec</w:t>
      </w:r>
      <w:proofErr w:type="spellEnd"/>
      <w:r w:rsidRPr="0011339F">
        <w:rPr>
          <w:rFonts w:ascii="Century Gothic" w:hAnsi="Century Gothic"/>
          <w:sz w:val="20"/>
          <w:szCs w:val="20"/>
        </w:rPr>
        <w:t>. Avenida Afonso Pena, 3880, Cruzeiro, BH-MG – 30130-009. E-mail: alexandre.tdias@fumec.br</w:t>
      </w:r>
    </w:p>
  </w:footnote>
  <w:footnote w:id="4">
    <w:p w:rsidR="0076021E" w:rsidRPr="00397407" w:rsidRDefault="0076021E" w:rsidP="00916031">
      <w:pPr>
        <w:pStyle w:val="NormalWeb"/>
        <w:spacing w:before="0" w:beforeAutospacing="0" w:after="0" w:afterAutospacing="0"/>
        <w:jc w:val="both"/>
        <w:rPr>
          <w:rFonts w:ascii="Century Gothic" w:hAnsi="Century Gothic"/>
          <w:sz w:val="20"/>
          <w:szCs w:val="20"/>
        </w:rPr>
      </w:pPr>
      <w:r w:rsidRPr="006C2E11">
        <w:rPr>
          <w:rStyle w:val="Refdenotaderodap"/>
          <w:rFonts w:ascii="Century Gothic" w:hAnsi="Century Gothic"/>
          <w:sz w:val="20"/>
          <w:szCs w:val="20"/>
        </w:rPr>
        <w:footnoteRef/>
      </w:r>
      <w:r w:rsidRPr="006C2E11">
        <w:rPr>
          <w:rFonts w:ascii="Century Gothic" w:hAnsi="Century Gothic"/>
          <w:sz w:val="20"/>
          <w:szCs w:val="20"/>
        </w:rPr>
        <w:t xml:space="preserve"> </w:t>
      </w:r>
      <w:r w:rsidRPr="0011339F">
        <w:rPr>
          <w:rFonts w:ascii="Century Gothic" w:hAnsi="Century Gothic"/>
          <w:sz w:val="20"/>
          <w:szCs w:val="20"/>
        </w:rPr>
        <w:t xml:space="preserve">Mestre em Administração. Professor da Universidade </w:t>
      </w:r>
      <w:proofErr w:type="spellStart"/>
      <w:r w:rsidRPr="0011339F">
        <w:rPr>
          <w:rFonts w:ascii="Century Gothic" w:hAnsi="Century Gothic"/>
          <w:sz w:val="20"/>
          <w:szCs w:val="20"/>
        </w:rPr>
        <w:t>Fumec</w:t>
      </w:r>
      <w:proofErr w:type="spellEnd"/>
      <w:r w:rsidRPr="0011339F">
        <w:rPr>
          <w:rFonts w:ascii="Century Gothic" w:hAnsi="Century Gothic"/>
          <w:sz w:val="20"/>
          <w:szCs w:val="20"/>
        </w:rPr>
        <w:t>. Avenida Afonso Pena, 3880, Cruzeiro, BH-MG – 30130-009. E-mail: aril@fumec.br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21E" w:rsidRPr="006C2E11" w:rsidRDefault="0076021E" w:rsidP="0011339F">
    <w:pPr>
      <w:pStyle w:val="Rodap"/>
      <w:pBdr>
        <w:bottom w:val="single" w:sz="12" w:space="1" w:color="auto"/>
      </w:pBdr>
      <w:tabs>
        <w:tab w:val="right" w:pos="9071"/>
      </w:tabs>
      <w:jc w:val="right"/>
      <w:rPr>
        <w:rFonts w:ascii="Century Gothic" w:hAnsi="Century Gothic"/>
        <w:color w:val="000000"/>
        <w:sz w:val="18"/>
        <w:szCs w:val="18"/>
      </w:rPr>
    </w:pPr>
    <w:r w:rsidRPr="0011339F">
      <w:rPr>
        <w:rFonts w:ascii="Century Gothic" w:hAnsi="Century Gothic"/>
        <w:color w:val="000000"/>
        <w:sz w:val="18"/>
        <w:szCs w:val="18"/>
      </w:rPr>
      <w:t>J</w:t>
    </w:r>
    <w:r>
      <w:rPr>
        <w:rFonts w:ascii="Century Gothic" w:hAnsi="Century Gothic"/>
        <w:color w:val="000000"/>
        <w:sz w:val="18"/>
        <w:szCs w:val="18"/>
      </w:rPr>
      <w:t xml:space="preserve">osé Marcos Carvalho de Mesquita, Henrique Cordeiro Martins, Alexandre Teixeira Dias e </w:t>
    </w:r>
    <w:proofErr w:type="spellStart"/>
    <w:r>
      <w:rPr>
        <w:rFonts w:ascii="Century Gothic" w:hAnsi="Century Gothic"/>
        <w:color w:val="000000"/>
        <w:sz w:val="18"/>
        <w:szCs w:val="18"/>
      </w:rPr>
      <w:t>Aril</w:t>
    </w:r>
    <w:proofErr w:type="spellEnd"/>
    <w:r>
      <w:rPr>
        <w:rFonts w:ascii="Century Gothic" w:hAnsi="Century Gothic"/>
        <w:color w:val="000000"/>
        <w:sz w:val="18"/>
        <w:szCs w:val="18"/>
      </w:rPr>
      <w:t xml:space="preserve"> Rabelo</w:t>
    </w:r>
  </w:p>
  <w:p w:rsidR="0076021E" w:rsidRDefault="0076021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21E" w:rsidRPr="0011339F" w:rsidRDefault="0076021E" w:rsidP="0011339F">
    <w:pPr>
      <w:pStyle w:val="Rodap"/>
      <w:pBdr>
        <w:bottom w:val="single" w:sz="12" w:space="1" w:color="auto"/>
      </w:pBdr>
      <w:tabs>
        <w:tab w:val="right" w:pos="9071"/>
      </w:tabs>
      <w:jc w:val="right"/>
      <w:rPr>
        <w:rFonts w:ascii="Century Gothic" w:hAnsi="Century Gothic"/>
        <w:color w:val="000000"/>
        <w:sz w:val="16"/>
        <w:szCs w:val="16"/>
      </w:rPr>
    </w:pPr>
    <w:r w:rsidRPr="0011339F">
      <w:rPr>
        <w:rFonts w:ascii="Century Gothic" w:hAnsi="Century Gothic"/>
        <w:color w:val="000000"/>
        <w:sz w:val="18"/>
        <w:szCs w:val="18"/>
      </w:rPr>
      <w:t>IMPACTOS DA SAZONALIDADE DA PRODUÇÃO SOBRE O</w:t>
    </w:r>
    <w:r>
      <w:rPr>
        <w:rFonts w:ascii="Century Gothic" w:hAnsi="Century Gothic"/>
        <w:color w:val="000000"/>
        <w:sz w:val="18"/>
        <w:szCs w:val="18"/>
      </w:rPr>
      <w:t>S ESTOQUES E LUCRATIVIDADE...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52062"/>
    <w:multiLevelType w:val="multilevel"/>
    <w:tmpl w:val="93968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pt-BR" w:vendorID="64" w:dllVersion="131078" w:nlCheck="1" w:checkStyle="0"/>
  <w:activeWritingStyle w:appName="MSWord" w:lang="en-US" w:vendorID="64" w:dllVersion="131078" w:nlCheck="1" w:checkStyle="0"/>
  <w:activeWritingStyle w:appName="MSWord" w:lang="en-GB" w:vendorID="64" w:dllVersion="131078" w:nlCheck="1" w:checkStyle="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349"/>
    <w:rsid w:val="0001256D"/>
    <w:rsid w:val="00064147"/>
    <w:rsid w:val="000915E4"/>
    <w:rsid w:val="000B423A"/>
    <w:rsid w:val="000D38BE"/>
    <w:rsid w:val="000F4E1E"/>
    <w:rsid w:val="0011339F"/>
    <w:rsid w:val="00190C93"/>
    <w:rsid w:val="0019587C"/>
    <w:rsid w:val="001B3E30"/>
    <w:rsid w:val="001C4FC6"/>
    <w:rsid w:val="0020146C"/>
    <w:rsid w:val="00213776"/>
    <w:rsid w:val="00223DEC"/>
    <w:rsid w:val="00244E83"/>
    <w:rsid w:val="00267E5D"/>
    <w:rsid w:val="002C7B02"/>
    <w:rsid w:val="002E5B61"/>
    <w:rsid w:val="002F5A35"/>
    <w:rsid w:val="00312C78"/>
    <w:rsid w:val="00341349"/>
    <w:rsid w:val="00360B1F"/>
    <w:rsid w:val="00361B40"/>
    <w:rsid w:val="003739F4"/>
    <w:rsid w:val="00387EE1"/>
    <w:rsid w:val="004343EB"/>
    <w:rsid w:val="004706E5"/>
    <w:rsid w:val="004A3838"/>
    <w:rsid w:val="004B02BB"/>
    <w:rsid w:val="004F581F"/>
    <w:rsid w:val="0053630B"/>
    <w:rsid w:val="005667D5"/>
    <w:rsid w:val="005E0547"/>
    <w:rsid w:val="005E213F"/>
    <w:rsid w:val="005F40AB"/>
    <w:rsid w:val="00604A1E"/>
    <w:rsid w:val="00604FE9"/>
    <w:rsid w:val="00610CE6"/>
    <w:rsid w:val="006251A6"/>
    <w:rsid w:val="006332A1"/>
    <w:rsid w:val="00675441"/>
    <w:rsid w:val="00695A33"/>
    <w:rsid w:val="006E0CC8"/>
    <w:rsid w:val="00703B06"/>
    <w:rsid w:val="00705A3D"/>
    <w:rsid w:val="0076021E"/>
    <w:rsid w:val="00781438"/>
    <w:rsid w:val="0078149D"/>
    <w:rsid w:val="00787DE8"/>
    <w:rsid w:val="00790F51"/>
    <w:rsid w:val="00797789"/>
    <w:rsid w:val="007E5154"/>
    <w:rsid w:val="00817FCF"/>
    <w:rsid w:val="0085135C"/>
    <w:rsid w:val="00894850"/>
    <w:rsid w:val="008A4607"/>
    <w:rsid w:val="008E0095"/>
    <w:rsid w:val="00916031"/>
    <w:rsid w:val="0096335B"/>
    <w:rsid w:val="009B5360"/>
    <w:rsid w:val="00A26ED3"/>
    <w:rsid w:val="00A83475"/>
    <w:rsid w:val="00AB5DE3"/>
    <w:rsid w:val="00B03116"/>
    <w:rsid w:val="00B3029F"/>
    <w:rsid w:val="00B83AA1"/>
    <w:rsid w:val="00B9180A"/>
    <w:rsid w:val="00BC23E3"/>
    <w:rsid w:val="00C52BA9"/>
    <w:rsid w:val="00C64F63"/>
    <w:rsid w:val="00C749B0"/>
    <w:rsid w:val="00C80C71"/>
    <w:rsid w:val="00CF56DC"/>
    <w:rsid w:val="00D05885"/>
    <w:rsid w:val="00D10DFE"/>
    <w:rsid w:val="00D21749"/>
    <w:rsid w:val="00D71C6E"/>
    <w:rsid w:val="00D72820"/>
    <w:rsid w:val="00D82A15"/>
    <w:rsid w:val="00D92E08"/>
    <w:rsid w:val="00DA428F"/>
    <w:rsid w:val="00DB44AE"/>
    <w:rsid w:val="00DB5645"/>
    <w:rsid w:val="00E57F97"/>
    <w:rsid w:val="00E6073F"/>
    <w:rsid w:val="00E72C36"/>
    <w:rsid w:val="00E976EE"/>
    <w:rsid w:val="00EE066F"/>
    <w:rsid w:val="00EF48DA"/>
    <w:rsid w:val="00F061CB"/>
    <w:rsid w:val="00F2526B"/>
    <w:rsid w:val="00F3647B"/>
    <w:rsid w:val="00F42AB9"/>
    <w:rsid w:val="00F55481"/>
    <w:rsid w:val="00F657A0"/>
    <w:rsid w:val="00F8393E"/>
    <w:rsid w:val="00FA71E2"/>
    <w:rsid w:val="00FB2FDB"/>
    <w:rsid w:val="00FE58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1349"/>
    <w:pPr>
      <w:spacing w:after="0" w:line="240" w:lineRule="auto"/>
    </w:pPr>
    <w:rPr>
      <w:rFonts w:ascii="Times New Roman" w:eastAsia="Times New Roman" w:hAnsi="Times New Roman" w:cs="Times New Roman"/>
      <w:sz w:val="24"/>
      <w:szCs w:val="24"/>
      <w:lang w:eastAsia="pt-BR"/>
    </w:rPr>
  </w:style>
  <w:style w:type="paragraph" w:styleId="Ttulo4">
    <w:name w:val="heading 4"/>
    <w:basedOn w:val="Normal"/>
    <w:next w:val="Normal"/>
    <w:link w:val="Ttulo4Char"/>
    <w:qFormat/>
    <w:rsid w:val="00341349"/>
    <w:pPr>
      <w:keepNext/>
      <w:spacing w:line="480" w:lineRule="auto"/>
      <w:outlineLvl w:val="3"/>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4Char">
    <w:name w:val="Título 4 Char"/>
    <w:basedOn w:val="Fontepargpadro"/>
    <w:link w:val="Ttulo4"/>
    <w:rsid w:val="00341349"/>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rsid w:val="00341349"/>
    <w:pPr>
      <w:tabs>
        <w:tab w:val="center" w:pos="4419"/>
        <w:tab w:val="right" w:pos="8838"/>
      </w:tabs>
    </w:pPr>
  </w:style>
  <w:style w:type="character" w:customStyle="1" w:styleId="CabealhoChar">
    <w:name w:val="Cabeçalho Char"/>
    <w:basedOn w:val="Fontepargpadro"/>
    <w:link w:val="Cabealho"/>
    <w:uiPriority w:val="99"/>
    <w:rsid w:val="00341349"/>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341349"/>
    <w:pPr>
      <w:tabs>
        <w:tab w:val="center" w:pos="4419"/>
        <w:tab w:val="right" w:pos="8838"/>
      </w:tabs>
    </w:pPr>
  </w:style>
  <w:style w:type="character" w:customStyle="1" w:styleId="RodapChar">
    <w:name w:val="Rodapé Char"/>
    <w:basedOn w:val="Fontepargpadro"/>
    <w:link w:val="Rodap"/>
    <w:uiPriority w:val="99"/>
    <w:rsid w:val="00341349"/>
    <w:rPr>
      <w:rFonts w:ascii="Times New Roman" w:eastAsia="Times New Roman" w:hAnsi="Times New Roman" w:cs="Times New Roman"/>
      <w:sz w:val="24"/>
      <w:szCs w:val="24"/>
      <w:lang w:eastAsia="pt-BR"/>
    </w:rPr>
  </w:style>
  <w:style w:type="character" w:styleId="Nmerodepgina">
    <w:name w:val="page number"/>
    <w:basedOn w:val="Fontepargpadro"/>
    <w:rsid w:val="00341349"/>
  </w:style>
  <w:style w:type="paragraph" w:styleId="Textodenotaderodap">
    <w:name w:val="footnote text"/>
    <w:basedOn w:val="Normal"/>
    <w:link w:val="TextodenotaderodapChar"/>
    <w:semiHidden/>
    <w:rsid w:val="00341349"/>
    <w:rPr>
      <w:sz w:val="20"/>
      <w:szCs w:val="20"/>
    </w:rPr>
  </w:style>
  <w:style w:type="character" w:customStyle="1" w:styleId="TextodenotaderodapChar">
    <w:name w:val="Texto de nota de rodapé Char"/>
    <w:basedOn w:val="Fontepargpadro"/>
    <w:link w:val="Textodenotaderodap"/>
    <w:semiHidden/>
    <w:rsid w:val="00341349"/>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341349"/>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341349"/>
    <w:rPr>
      <w:rFonts w:ascii="Times New Roman" w:eastAsia="Times New Roman" w:hAnsi="Times New Roman" w:cs="Times New Roman"/>
      <w:sz w:val="20"/>
      <w:szCs w:val="20"/>
      <w:lang w:eastAsia="pt-BR"/>
    </w:rPr>
  </w:style>
  <w:style w:type="character" w:styleId="Refdenotaderodap">
    <w:name w:val="footnote reference"/>
    <w:basedOn w:val="Fontepargpadro"/>
    <w:rsid w:val="00341349"/>
    <w:rPr>
      <w:vertAlign w:val="superscript"/>
    </w:rPr>
  </w:style>
  <w:style w:type="character" w:customStyle="1" w:styleId="hps">
    <w:name w:val="hps"/>
    <w:basedOn w:val="Fontepargpadro"/>
    <w:rsid w:val="00E976EE"/>
  </w:style>
  <w:style w:type="character" w:customStyle="1" w:styleId="gt-icon-text1">
    <w:name w:val="gt-icon-text1"/>
    <w:basedOn w:val="Fontepargpadro"/>
    <w:rsid w:val="00E976EE"/>
  </w:style>
  <w:style w:type="character" w:customStyle="1" w:styleId="apple-converted-space">
    <w:name w:val="apple-converted-space"/>
    <w:basedOn w:val="Fontepargpadro"/>
    <w:rsid w:val="008A4607"/>
  </w:style>
  <w:style w:type="paragraph" w:styleId="NormalWeb">
    <w:name w:val="Normal (Web)"/>
    <w:basedOn w:val="Normal"/>
    <w:uiPriority w:val="99"/>
    <w:rsid w:val="00916031"/>
    <w:pPr>
      <w:spacing w:before="100" w:beforeAutospacing="1" w:after="100" w:afterAutospacing="1"/>
    </w:pPr>
    <w:rPr>
      <w:rFonts w:ascii="tahoma, verdana, arial" w:hAnsi="tahoma, verdana, arial" w:cs="tahoma, verdana, 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111604">
      <w:bodyDiv w:val="1"/>
      <w:marLeft w:val="0"/>
      <w:marRight w:val="0"/>
      <w:marTop w:val="0"/>
      <w:marBottom w:val="0"/>
      <w:divBdr>
        <w:top w:val="none" w:sz="0" w:space="0" w:color="auto"/>
        <w:left w:val="none" w:sz="0" w:space="0" w:color="auto"/>
        <w:bottom w:val="none" w:sz="0" w:space="0" w:color="auto"/>
        <w:right w:val="none" w:sz="0" w:space="0" w:color="auto"/>
      </w:divBdr>
      <w:divsChild>
        <w:div w:id="1656833376">
          <w:marLeft w:val="0"/>
          <w:marRight w:val="0"/>
          <w:marTop w:val="0"/>
          <w:marBottom w:val="0"/>
          <w:divBdr>
            <w:top w:val="none" w:sz="0" w:space="0" w:color="auto"/>
            <w:left w:val="none" w:sz="0" w:space="0" w:color="auto"/>
            <w:bottom w:val="none" w:sz="0" w:space="0" w:color="auto"/>
            <w:right w:val="none" w:sz="0" w:space="0" w:color="auto"/>
          </w:divBdr>
          <w:divsChild>
            <w:div w:id="997419688">
              <w:marLeft w:val="0"/>
              <w:marRight w:val="0"/>
              <w:marTop w:val="0"/>
              <w:marBottom w:val="0"/>
              <w:divBdr>
                <w:top w:val="none" w:sz="0" w:space="0" w:color="auto"/>
                <w:left w:val="none" w:sz="0" w:space="0" w:color="auto"/>
                <w:bottom w:val="none" w:sz="0" w:space="0" w:color="auto"/>
                <w:right w:val="none" w:sz="0" w:space="0" w:color="auto"/>
              </w:divBdr>
              <w:divsChild>
                <w:div w:id="903370516">
                  <w:marLeft w:val="0"/>
                  <w:marRight w:val="0"/>
                  <w:marTop w:val="0"/>
                  <w:marBottom w:val="0"/>
                  <w:divBdr>
                    <w:top w:val="none" w:sz="0" w:space="0" w:color="auto"/>
                    <w:left w:val="none" w:sz="0" w:space="0" w:color="auto"/>
                    <w:bottom w:val="none" w:sz="0" w:space="0" w:color="auto"/>
                    <w:right w:val="none" w:sz="0" w:space="0" w:color="auto"/>
                  </w:divBdr>
                  <w:divsChild>
                    <w:div w:id="1112282718">
                      <w:marLeft w:val="0"/>
                      <w:marRight w:val="0"/>
                      <w:marTop w:val="0"/>
                      <w:marBottom w:val="0"/>
                      <w:divBdr>
                        <w:top w:val="none" w:sz="0" w:space="0" w:color="auto"/>
                        <w:left w:val="none" w:sz="0" w:space="0" w:color="auto"/>
                        <w:bottom w:val="none" w:sz="0" w:space="0" w:color="auto"/>
                        <w:right w:val="none" w:sz="0" w:space="0" w:color="auto"/>
                      </w:divBdr>
                      <w:divsChild>
                        <w:div w:id="1383599487">
                          <w:marLeft w:val="0"/>
                          <w:marRight w:val="0"/>
                          <w:marTop w:val="0"/>
                          <w:marBottom w:val="0"/>
                          <w:divBdr>
                            <w:top w:val="none" w:sz="0" w:space="0" w:color="auto"/>
                            <w:left w:val="none" w:sz="0" w:space="0" w:color="auto"/>
                            <w:bottom w:val="none" w:sz="0" w:space="0" w:color="auto"/>
                            <w:right w:val="none" w:sz="0" w:space="0" w:color="auto"/>
                          </w:divBdr>
                          <w:divsChild>
                            <w:div w:id="185600947">
                              <w:marLeft w:val="0"/>
                              <w:marRight w:val="0"/>
                              <w:marTop w:val="0"/>
                              <w:marBottom w:val="0"/>
                              <w:divBdr>
                                <w:top w:val="none" w:sz="0" w:space="0" w:color="auto"/>
                                <w:left w:val="none" w:sz="0" w:space="0" w:color="auto"/>
                                <w:bottom w:val="none" w:sz="0" w:space="0" w:color="auto"/>
                                <w:right w:val="none" w:sz="0" w:space="0" w:color="auto"/>
                              </w:divBdr>
                              <w:divsChild>
                                <w:div w:id="133190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9012019">
      <w:bodyDiv w:val="1"/>
      <w:marLeft w:val="0"/>
      <w:marRight w:val="0"/>
      <w:marTop w:val="0"/>
      <w:marBottom w:val="0"/>
      <w:divBdr>
        <w:top w:val="none" w:sz="0" w:space="0" w:color="auto"/>
        <w:left w:val="none" w:sz="0" w:space="0" w:color="auto"/>
        <w:bottom w:val="none" w:sz="0" w:space="0" w:color="auto"/>
        <w:right w:val="none" w:sz="0" w:space="0" w:color="auto"/>
      </w:divBdr>
      <w:divsChild>
        <w:div w:id="712777931">
          <w:marLeft w:val="0"/>
          <w:marRight w:val="0"/>
          <w:marTop w:val="0"/>
          <w:marBottom w:val="0"/>
          <w:divBdr>
            <w:top w:val="none" w:sz="0" w:space="0" w:color="auto"/>
            <w:left w:val="none" w:sz="0" w:space="0" w:color="auto"/>
            <w:bottom w:val="none" w:sz="0" w:space="0" w:color="auto"/>
            <w:right w:val="none" w:sz="0" w:space="0" w:color="auto"/>
          </w:divBdr>
          <w:divsChild>
            <w:div w:id="178081748">
              <w:marLeft w:val="0"/>
              <w:marRight w:val="0"/>
              <w:marTop w:val="0"/>
              <w:marBottom w:val="0"/>
              <w:divBdr>
                <w:top w:val="none" w:sz="0" w:space="0" w:color="auto"/>
                <w:left w:val="none" w:sz="0" w:space="0" w:color="auto"/>
                <w:bottom w:val="none" w:sz="0" w:space="0" w:color="auto"/>
                <w:right w:val="none" w:sz="0" w:space="0" w:color="auto"/>
              </w:divBdr>
              <w:divsChild>
                <w:div w:id="575823639">
                  <w:marLeft w:val="0"/>
                  <w:marRight w:val="0"/>
                  <w:marTop w:val="0"/>
                  <w:marBottom w:val="0"/>
                  <w:divBdr>
                    <w:top w:val="none" w:sz="0" w:space="0" w:color="auto"/>
                    <w:left w:val="none" w:sz="0" w:space="0" w:color="auto"/>
                    <w:bottom w:val="none" w:sz="0" w:space="0" w:color="auto"/>
                    <w:right w:val="none" w:sz="0" w:space="0" w:color="auto"/>
                  </w:divBdr>
                  <w:divsChild>
                    <w:div w:id="1469590101">
                      <w:marLeft w:val="0"/>
                      <w:marRight w:val="0"/>
                      <w:marTop w:val="0"/>
                      <w:marBottom w:val="0"/>
                      <w:divBdr>
                        <w:top w:val="none" w:sz="0" w:space="0" w:color="auto"/>
                        <w:left w:val="none" w:sz="0" w:space="0" w:color="auto"/>
                        <w:bottom w:val="none" w:sz="0" w:space="0" w:color="auto"/>
                        <w:right w:val="none" w:sz="0" w:space="0" w:color="auto"/>
                      </w:divBdr>
                      <w:divsChild>
                        <w:div w:id="20712678">
                          <w:marLeft w:val="0"/>
                          <w:marRight w:val="0"/>
                          <w:marTop w:val="0"/>
                          <w:marBottom w:val="0"/>
                          <w:divBdr>
                            <w:top w:val="none" w:sz="0" w:space="0" w:color="auto"/>
                            <w:left w:val="none" w:sz="0" w:space="0" w:color="auto"/>
                            <w:bottom w:val="none" w:sz="0" w:space="0" w:color="auto"/>
                            <w:right w:val="none" w:sz="0" w:space="0" w:color="auto"/>
                          </w:divBdr>
                          <w:divsChild>
                            <w:div w:id="1813594520">
                              <w:marLeft w:val="0"/>
                              <w:marRight w:val="0"/>
                              <w:marTop w:val="0"/>
                              <w:marBottom w:val="0"/>
                              <w:divBdr>
                                <w:top w:val="none" w:sz="0" w:space="0" w:color="auto"/>
                                <w:left w:val="none" w:sz="0" w:space="0" w:color="auto"/>
                                <w:bottom w:val="none" w:sz="0" w:space="0" w:color="auto"/>
                                <w:right w:val="none" w:sz="0" w:space="0" w:color="auto"/>
                              </w:divBdr>
                              <w:divsChild>
                                <w:div w:id="103396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586608">
      <w:bodyDiv w:val="1"/>
      <w:marLeft w:val="0"/>
      <w:marRight w:val="0"/>
      <w:marTop w:val="0"/>
      <w:marBottom w:val="0"/>
      <w:divBdr>
        <w:top w:val="none" w:sz="0" w:space="0" w:color="auto"/>
        <w:left w:val="none" w:sz="0" w:space="0" w:color="auto"/>
        <w:bottom w:val="none" w:sz="0" w:space="0" w:color="auto"/>
        <w:right w:val="none" w:sz="0" w:space="0" w:color="auto"/>
      </w:divBdr>
      <w:divsChild>
        <w:div w:id="1032002686">
          <w:marLeft w:val="0"/>
          <w:marRight w:val="0"/>
          <w:marTop w:val="0"/>
          <w:marBottom w:val="0"/>
          <w:divBdr>
            <w:top w:val="none" w:sz="0" w:space="0" w:color="auto"/>
            <w:left w:val="none" w:sz="0" w:space="0" w:color="auto"/>
            <w:bottom w:val="none" w:sz="0" w:space="0" w:color="auto"/>
            <w:right w:val="none" w:sz="0" w:space="0" w:color="auto"/>
          </w:divBdr>
          <w:divsChild>
            <w:div w:id="168183387">
              <w:marLeft w:val="0"/>
              <w:marRight w:val="0"/>
              <w:marTop w:val="0"/>
              <w:marBottom w:val="0"/>
              <w:divBdr>
                <w:top w:val="none" w:sz="0" w:space="0" w:color="auto"/>
                <w:left w:val="none" w:sz="0" w:space="0" w:color="auto"/>
                <w:bottom w:val="none" w:sz="0" w:space="0" w:color="auto"/>
                <w:right w:val="none" w:sz="0" w:space="0" w:color="auto"/>
              </w:divBdr>
              <w:divsChild>
                <w:div w:id="1398164606">
                  <w:marLeft w:val="0"/>
                  <w:marRight w:val="0"/>
                  <w:marTop w:val="0"/>
                  <w:marBottom w:val="0"/>
                  <w:divBdr>
                    <w:top w:val="none" w:sz="0" w:space="0" w:color="auto"/>
                    <w:left w:val="none" w:sz="0" w:space="0" w:color="auto"/>
                    <w:bottom w:val="none" w:sz="0" w:space="0" w:color="auto"/>
                    <w:right w:val="none" w:sz="0" w:space="0" w:color="auto"/>
                  </w:divBdr>
                  <w:divsChild>
                    <w:div w:id="411127285">
                      <w:marLeft w:val="0"/>
                      <w:marRight w:val="0"/>
                      <w:marTop w:val="0"/>
                      <w:marBottom w:val="0"/>
                      <w:divBdr>
                        <w:top w:val="none" w:sz="0" w:space="0" w:color="auto"/>
                        <w:left w:val="none" w:sz="0" w:space="0" w:color="auto"/>
                        <w:bottom w:val="none" w:sz="0" w:space="0" w:color="auto"/>
                        <w:right w:val="none" w:sz="0" w:space="0" w:color="auto"/>
                      </w:divBdr>
                      <w:divsChild>
                        <w:div w:id="1615936447">
                          <w:marLeft w:val="0"/>
                          <w:marRight w:val="0"/>
                          <w:marTop w:val="0"/>
                          <w:marBottom w:val="0"/>
                          <w:divBdr>
                            <w:top w:val="none" w:sz="0" w:space="0" w:color="auto"/>
                            <w:left w:val="none" w:sz="0" w:space="0" w:color="auto"/>
                            <w:bottom w:val="none" w:sz="0" w:space="0" w:color="auto"/>
                            <w:right w:val="none" w:sz="0" w:space="0" w:color="auto"/>
                          </w:divBdr>
                          <w:divsChild>
                            <w:div w:id="1788966573">
                              <w:marLeft w:val="0"/>
                              <w:marRight w:val="0"/>
                              <w:marTop w:val="0"/>
                              <w:marBottom w:val="0"/>
                              <w:divBdr>
                                <w:top w:val="none" w:sz="0" w:space="0" w:color="auto"/>
                                <w:left w:val="none" w:sz="0" w:space="0" w:color="auto"/>
                                <w:bottom w:val="none" w:sz="0" w:space="0" w:color="auto"/>
                                <w:right w:val="none" w:sz="0" w:space="0" w:color="auto"/>
                              </w:divBdr>
                              <w:divsChild>
                                <w:div w:id="839005220">
                                  <w:marLeft w:val="0"/>
                                  <w:marRight w:val="0"/>
                                  <w:marTop w:val="0"/>
                                  <w:marBottom w:val="0"/>
                                  <w:divBdr>
                                    <w:top w:val="none" w:sz="0" w:space="0" w:color="auto"/>
                                    <w:left w:val="none" w:sz="0" w:space="0" w:color="auto"/>
                                    <w:bottom w:val="none" w:sz="0" w:space="0" w:color="auto"/>
                                    <w:right w:val="none" w:sz="0" w:space="0" w:color="auto"/>
                                  </w:divBdr>
                                </w:div>
                              </w:divsChild>
                            </w:div>
                            <w:div w:id="565838910">
                              <w:marLeft w:val="0"/>
                              <w:marRight w:val="0"/>
                              <w:marTop w:val="240"/>
                              <w:marBottom w:val="0"/>
                              <w:divBdr>
                                <w:top w:val="none" w:sz="0" w:space="0" w:color="auto"/>
                                <w:left w:val="none" w:sz="0" w:space="0" w:color="auto"/>
                                <w:bottom w:val="none" w:sz="0" w:space="0" w:color="auto"/>
                                <w:right w:val="none" w:sz="0" w:space="0" w:color="auto"/>
                              </w:divBdr>
                              <w:divsChild>
                                <w:div w:id="1941835548">
                                  <w:marLeft w:val="0"/>
                                  <w:marRight w:val="240"/>
                                  <w:marTop w:val="0"/>
                                  <w:marBottom w:val="0"/>
                                  <w:divBdr>
                                    <w:top w:val="none" w:sz="0" w:space="0" w:color="auto"/>
                                    <w:left w:val="none" w:sz="0" w:space="0" w:color="auto"/>
                                    <w:bottom w:val="none" w:sz="0" w:space="0" w:color="auto"/>
                                    <w:right w:val="none" w:sz="0" w:space="0" w:color="auto"/>
                                  </w:divBdr>
                                </w:div>
                                <w:div w:id="736393666">
                                  <w:marLeft w:val="0"/>
                                  <w:marRight w:val="240"/>
                                  <w:marTop w:val="0"/>
                                  <w:marBottom w:val="0"/>
                                  <w:divBdr>
                                    <w:top w:val="none" w:sz="0" w:space="0" w:color="auto"/>
                                    <w:left w:val="none" w:sz="0" w:space="0" w:color="auto"/>
                                    <w:bottom w:val="none" w:sz="0" w:space="0" w:color="auto"/>
                                    <w:right w:val="none" w:sz="0" w:space="0" w:color="auto"/>
                                  </w:divBdr>
                                </w:div>
                              </w:divsChild>
                            </w:div>
                            <w:div w:id="939263740">
                              <w:marLeft w:val="0"/>
                              <w:marRight w:val="0"/>
                              <w:marTop w:val="0"/>
                              <w:marBottom w:val="0"/>
                              <w:divBdr>
                                <w:top w:val="none" w:sz="0" w:space="0" w:color="auto"/>
                                <w:left w:val="none" w:sz="0" w:space="0" w:color="auto"/>
                                <w:bottom w:val="none" w:sz="0" w:space="0" w:color="auto"/>
                                <w:right w:val="none" w:sz="0" w:space="0" w:color="auto"/>
                              </w:divBdr>
                            </w:div>
                            <w:div w:id="171812173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020058">
      <w:bodyDiv w:val="1"/>
      <w:marLeft w:val="0"/>
      <w:marRight w:val="0"/>
      <w:marTop w:val="0"/>
      <w:marBottom w:val="0"/>
      <w:divBdr>
        <w:top w:val="none" w:sz="0" w:space="0" w:color="auto"/>
        <w:left w:val="none" w:sz="0" w:space="0" w:color="auto"/>
        <w:bottom w:val="none" w:sz="0" w:space="0" w:color="auto"/>
        <w:right w:val="none" w:sz="0" w:space="0" w:color="auto"/>
      </w:divBdr>
      <w:divsChild>
        <w:div w:id="52974693">
          <w:marLeft w:val="0"/>
          <w:marRight w:val="0"/>
          <w:marTop w:val="0"/>
          <w:marBottom w:val="0"/>
          <w:divBdr>
            <w:top w:val="none" w:sz="0" w:space="0" w:color="auto"/>
            <w:left w:val="none" w:sz="0" w:space="0" w:color="auto"/>
            <w:bottom w:val="none" w:sz="0" w:space="0" w:color="auto"/>
            <w:right w:val="none" w:sz="0" w:space="0" w:color="auto"/>
          </w:divBdr>
          <w:divsChild>
            <w:div w:id="363600127">
              <w:marLeft w:val="0"/>
              <w:marRight w:val="0"/>
              <w:marTop w:val="0"/>
              <w:marBottom w:val="0"/>
              <w:divBdr>
                <w:top w:val="none" w:sz="0" w:space="0" w:color="auto"/>
                <w:left w:val="none" w:sz="0" w:space="0" w:color="auto"/>
                <w:bottom w:val="none" w:sz="0" w:space="0" w:color="auto"/>
                <w:right w:val="none" w:sz="0" w:space="0" w:color="auto"/>
              </w:divBdr>
              <w:divsChild>
                <w:div w:id="1519276518">
                  <w:marLeft w:val="0"/>
                  <w:marRight w:val="0"/>
                  <w:marTop w:val="0"/>
                  <w:marBottom w:val="0"/>
                  <w:divBdr>
                    <w:top w:val="none" w:sz="0" w:space="0" w:color="auto"/>
                    <w:left w:val="none" w:sz="0" w:space="0" w:color="auto"/>
                    <w:bottom w:val="none" w:sz="0" w:space="0" w:color="auto"/>
                    <w:right w:val="none" w:sz="0" w:space="0" w:color="auto"/>
                  </w:divBdr>
                  <w:divsChild>
                    <w:div w:id="1263761992">
                      <w:marLeft w:val="0"/>
                      <w:marRight w:val="0"/>
                      <w:marTop w:val="0"/>
                      <w:marBottom w:val="0"/>
                      <w:divBdr>
                        <w:top w:val="none" w:sz="0" w:space="0" w:color="auto"/>
                        <w:left w:val="none" w:sz="0" w:space="0" w:color="auto"/>
                        <w:bottom w:val="none" w:sz="0" w:space="0" w:color="auto"/>
                        <w:right w:val="none" w:sz="0" w:space="0" w:color="auto"/>
                      </w:divBdr>
                      <w:divsChild>
                        <w:div w:id="1939480009">
                          <w:marLeft w:val="0"/>
                          <w:marRight w:val="0"/>
                          <w:marTop w:val="0"/>
                          <w:marBottom w:val="0"/>
                          <w:divBdr>
                            <w:top w:val="none" w:sz="0" w:space="0" w:color="auto"/>
                            <w:left w:val="none" w:sz="0" w:space="0" w:color="auto"/>
                            <w:bottom w:val="none" w:sz="0" w:space="0" w:color="auto"/>
                            <w:right w:val="none" w:sz="0" w:space="0" w:color="auto"/>
                          </w:divBdr>
                          <w:divsChild>
                            <w:div w:id="394671558">
                              <w:marLeft w:val="0"/>
                              <w:marRight w:val="0"/>
                              <w:marTop w:val="0"/>
                              <w:marBottom w:val="0"/>
                              <w:divBdr>
                                <w:top w:val="none" w:sz="0" w:space="0" w:color="auto"/>
                                <w:left w:val="none" w:sz="0" w:space="0" w:color="auto"/>
                                <w:bottom w:val="none" w:sz="0" w:space="0" w:color="auto"/>
                                <w:right w:val="none" w:sz="0" w:space="0" w:color="auto"/>
                              </w:divBdr>
                              <w:divsChild>
                                <w:div w:id="37049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634248">
      <w:bodyDiv w:val="1"/>
      <w:marLeft w:val="0"/>
      <w:marRight w:val="0"/>
      <w:marTop w:val="0"/>
      <w:marBottom w:val="0"/>
      <w:divBdr>
        <w:top w:val="none" w:sz="0" w:space="0" w:color="auto"/>
        <w:left w:val="none" w:sz="0" w:space="0" w:color="auto"/>
        <w:bottom w:val="none" w:sz="0" w:space="0" w:color="auto"/>
        <w:right w:val="none" w:sz="0" w:space="0" w:color="auto"/>
      </w:divBdr>
      <w:divsChild>
        <w:div w:id="1567494007">
          <w:marLeft w:val="0"/>
          <w:marRight w:val="0"/>
          <w:marTop w:val="0"/>
          <w:marBottom w:val="0"/>
          <w:divBdr>
            <w:top w:val="none" w:sz="0" w:space="0" w:color="auto"/>
            <w:left w:val="none" w:sz="0" w:space="0" w:color="auto"/>
            <w:bottom w:val="none" w:sz="0" w:space="0" w:color="auto"/>
            <w:right w:val="none" w:sz="0" w:space="0" w:color="auto"/>
          </w:divBdr>
          <w:divsChild>
            <w:div w:id="1944991920">
              <w:marLeft w:val="0"/>
              <w:marRight w:val="0"/>
              <w:marTop w:val="0"/>
              <w:marBottom w:val="0"/>
              <w:divBdr>
                <w:top w:val="none" w:sz="0" w:space="0" w:color="auto"/>
                <w:left w:val="none" w:sz="0" w:space="0" w:color="auto"/>
                <w:bottom w:val="none" w:sz="0" w:space="0" w:color="auto"/>
                <w:right w:val="none" w:sz="0" w:space="0" w:color="auto"/>
              </w:divBdr>
              <w:divsChild>
                <w:div w:id="1821968621">
                  <w:marLeft w:val="0"/>
                  <w:marRight w:val="0"/>
                  <w:marTop w:val="0"/>
                  <w:marBottom w:val="0"/>
                  <w:divBdr>
                    <w:top w:val="none" w:sz="0" w:space="0" w:color="auto"/>
                    <w:left w:val="none" w:sz="0" w:space="0" w:color="auto"/>
                    <w:bottom w:val="none" w:sz="0" w:space="0" w:color="auto"/>
                    <w:right w:val="none" w:sz="0" w:space="0" w:color="auto"/>
                  </w:divBdr>
                  <w:divsChild>
                    <w:div w:id="369957269">
                      <w:marLeft w:val="0"/>
                      <w:marRight w:val="0"/>
                      <w:marTop w:val="0"/>
                      <w:marBottom w:val="0"/>
                      <w:divBdr>
                        <w:top w:val="none" w:sz="0" w:space="0" w:color="auto"/>
                        <w:left w:val="none" w:sz="0" w:space="0" w:color="auto"/>
                        <w:bottom w:val="none" w:sz="0" w:space="0" w:color="auto"/>
                        <w:right w:val="none" w:sz="0" w:space="0" w:color="auto"/>
                      </w:divBdr>
                      <w:divsChild>
                        <w:div w:id="272249747">
                          <w:marLeft w:val="0"/>
                          <w:marRight w:val="0"/>
                          <w:marTop w:val="0"/>
                          <w:marBottom w:val="0"/>
                          <w:divBdr>
                            <w:top w:val="none" w:sz="0" w:space="0" w:color="auto"/>
                            <w:left w:val="none" w:sz="0" w:space="0" w:color="auto"/>
                            <w:bottom w:val="none" w:sz="0" w:space="0" w:color="auto"/>
                            <w:right w:val="none" w:sz="0" w:space="0" w:color="auto"/>
                          </w:divBdr>
                          <w:divsChild>
                            <w:div w:id="66347162">
                              <w:marLeft w:val="0"/>
                              <w:marRight w:val="0"/>
                              <w:marTop w:val="0"/>
                              <w:marBottom w:val="0"/>
                              <w:divBdr>
                                <w:top w:val="none" w:sz="0" w:space="0" w:color="auto"/>
                                <w:left w:val="none" w:sz="0" w:space="0" w:color="auto"/>
                                <w:bottom w:val="none" w:sz="0" w:space="0" w:color="auto"/>
                                <w:right w:val="none" w:sz="0" w:space="0" w:color="auto"/>
                              </w:divBdr>
                              <w:divsChild>
                                <w:div w:id="174086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608969">
      <w:bodyDiv w:val="1"/>
      <w:marLeft w:val="0"/>
      <w:marRight w:val="0"/>
      <w:marTop w:val="0"/>
      <w:marBottom w:val="0"/>
      <w:divBdr>
        <w:top w:val="none" w:sz="0" w:space="0" w:color="auto"/>
        <w:left w:val="none" w:sz="0" w:space="0" w:color="auto"/>
        <w:bottom w:val="none" w:sz="0" w:space="0" w:color="auto"/>
        <w:right w:val="none" w:sz="0" w:space="0" w:color="auto"/>
      </w:divBdr>
      <w:divsChild>
        <w:div w:id="771517200">
          <w:marLeft w:val="0"/>
          <w:marRight w:val="0"/>
          <w:marTop w:val="0"/>
          <w:marBottom w:val="0"/>
          <w:divBdr>
            <w:top w:val="none" w:sz="0" w:space="0" w:color="auto"/>
            <w:left w:val="none" w:sz="0" w:space="0" w:color="auto"/>
            <w:bottom w:val="none" w:sz="0" w:space="0" w:color="auto"/>
            <w:right w:val="none" w:sz="0" w:space="0" w:color="auto"/>
          </w:divBdr>
          <w:divsChild>
            <w:div w:id="153111955">
              <w:marLeft w:val="0"/>
              <w:marRight w:val="0"/>
              <w:marTop w:val="0"/>
              <w:marBottom w:val="0"/>
              <w:divBdr>
                <w:top w:val="none" w:sz="0" w:space="0" w:color="auto"/>
                <w:left w:val="none" w:sz="0" w:space="0" w:color="auto"/>
                <w:bottom w:val="none" w:sz="0" w:space="0" w:color="auto"/>
                <w:right w:val="none" w:sz="0" w:space="0" w:color="auto"/>
              </w:divBdr>
              <w:divsChild>
                <w:div w:id="491456813">
                  <w:marLeft w:val="0"/>
                  <w:marRight w:val="0"/>
                  <w:marTop w:val="0"/>
                  <w:marBottom w:val="0"/>
                  <w:divBdr>
                    <w:top w:val="none" w:sz="0" w:space="0" w:color="auto"/>
                    <w:left w:val="none" w:sz="0" w:space="0" w:color="auto"/>
                    <w:bottom w:val="none" w:sz="0" w:space="0" w:color="auto"/>
                    <w:right w:val="none" w:sz="0" w:space="0" w:color="auto"/>
                  </w:divBdr>
                  <w:divsChild>
                    <w:div w:id="1070494058">
                      <w:marLeft w:val="0"/>
                      <w:marRight w:val="0"/>
                      <w:marTop w:val="0"/>
                      <w:marBottom w:val="0"/>
                      <w:divBdr>
                        <w:top w:val="none" w:sz="0" w:space="0" w:color="auto"/>
                        <w:left w:val="none" w:sz="0" w:space="0" w:color="auto"/>
                        <w:bottom w:val="none" w:sz="0" w:space="0" w:color="auto"/>
                        <w:right w:val="none" w:sz="0" w:space="0" w:color="auto"/>
                      </w:divBdr>
                      <w:divsChild>
                        <w:div w:id="1404642708">
                          <w:marLeft w:val="0"/>
                          <w:marRight w:val="0"/>
                          <w:marTop w:val="0"/>
                          <w:marBottom w:val="0"/>
                          <w:divBdr>
                            <w:top w:val="none" w:sz="0" w:space="0" w:color="auto"/>
                            <w:left w:val="none" w:sz="0" w:space="0" w:color="auto"/>
                            <w:bottom w:val="none" w:sz="0" w:space="0" w:color="auto"/>
                            <w:right w:val="none" w:sz="0" w:space="0" w:color="auto"/>
                          </w:divBdr>
                          <w:divsChild>
                            <w:div w:id="1899365552">
                              <w:marLeft w:val="0"/>
                              <w:marRight w:val="0"/>
                              <w:marTop w:val="0"/>
                              <w:marBottom w:val="0"/>
                              <w:divBdr>
                                <w:top w:val="none" w:sz="0" w:space="0" w:color="auto"/>
                                <w:left w:val="none" w:sz="0" w:space="0" w:color="auto"/>
                                <w:bottom w:val="none" w:sz="0" w:space="0" w:color="auto"/>
                                <w:right w:val="none" w:sz="0" w:space="0" w:color="auto"/>
                              </w:divBdr>
                              <w:divsChild>
                                <w:div w:id="13896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D1826-C589-4F70-9808-BA4E42F0F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8302</Words>
  <Characters>44831</Characters>
  <Application>Microsoft Office Word</Application>
  <DocSecurity>0</DocSecurity>
  <Lines>373</Lines>
  <Paragraphs>106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53027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2016-09-18T14:36:00Z</dcterms:created>
  <dcterms:modified xsi:type="dcterms:W3CDTF">2016-09-18T17:16:00Z</dcterms:modified>
</cp:coreProperties>
</file>