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D1C" w:rsidRPr="006B4011" w:rsidRDefault="006B4011" w:rsidP="00DD4D1C">
      <w:pPr>
        <w:spacing w:after="0" w:line="240" w:lineRule="auto"/>
        <w:jc w:val="center"/>
        <w:rPr>
          <w:rFonts w:ascii="Times New Roman" w:hAnsi="Times New Roman" w:cs="Times New Roman"/>
          <w:b/>
          <w:sz w:val="24"/>
          <w:szCs w:val="24"/>
        </w:rPr>
      </w:pPr>
      <w:r w:rsidRPr="006B4011">
        <w:rPr>
          <w:rFonts w:ascii="Times New Roman" w:hAnsi="Times New Roman" w:cs="Times New Roman"/>
          <w:b/>
          <w:sz w:val="24"/>
          <w:szCs w:val="24"/>
        </w:rPr>
        <w:t>RELATÓRIO DE ALTERAÇÕES E CARTA AOS AVALIADORES EM RESPOSTA AO PARECER RECEBIDO</w:t>
      </w:r>
    </w:p>
    <w:p w:rsidR="006B4011" w:rsidRPr="00D5649D" w:rsidRDefault="006B4011" w:rsidP="006B4011">
      <w:pPr>
        <w:spacing w:line="240" w:lineRule="auto"/>
        <w:rPr>
          <w:rFonts w:ascii="Times New Roman" w:hAnsi="Times New Roman" w:cs="Times New Roman"/>
          <w:sz w:val="20"/>
          <w:szCs w:val="20"/>
        </w:rPr>
      </w:pPr>
    </w:p>
    <w:p w:rsidR="006B4011" w:rsidRDefault="006B4011" w:rsidP="006B4011">
      <w:pPr>
        <w:spacing w:line="240" w:lineRule="auto"/>
        <w:jc w:val="both"/>
        <w:rPr>
          <w:rFonts w:ascii="Times New Roman" w:hAnsi="Times New Roman" w:cs="Times New Roman"/>
          <w:sz w:val="24"/>
          <w:szCs w:val="24"/>
        </w:rPr>
      </w:pPr>
      <w:r w:rsidRPr="006B4011">
        <w:rPr>
          <w:rFonts w:ascii="Times New Roman" w:hAnsi="Times New Roman" w:cs="Times New Roman"/>
          <w:b/>
          <w:sz w:val="24"/>
          <w:szCs w:val="24"/>
        </w:rPr>
        <w:t>Título do Artigo:</w:t>
      </w:r>
      <w:r w:rsidRPr="006B4011">
        <w:rPr>
          <w:rFonts w:ascii="Times New Roman" w:hAnsi="Times New Roman" w:cs="Times New Roman"/>
          <w:sz w:val="24"/>
          <w:szCs w:val="24"/>
        </w:rPr>
        <w:t xml:space="preserve"> ATIVO INTANGÍVEL COM EVIDENCIAÇÃO CONTÁBIL NOS CLUBES DE FUTEBOL BRASILEIROS E EUROPEUS</w:t>
      </w:r>
    </w:p>
    <w:p w:rsidR="00A0590A" w:rsidRPr="00A0590A" w:rsidRDefault="00A0590A" w:rsidP="006B4011">
      <w:pPr>
        <w:spacing w:line="240" w:lineRule="auto"/>
        <w:jc w:val="both"/>
        <w:rPr>
          <w:rFonts w:ascii="Times New Roman" w:hAnsi="Times New Roman" w:cs="Times New Roman"/>
          <w:sz w:val="6"/>
          <w:szCs w:val="6"/>
        </w:rPr>
      </w:pPr>
    </w:p>
    <w:p w:rsidR="00E27C08" w:rsidRPr="00150A24" w:rsidRDefault="00E27C08" w:rsidP="00E27C08">
      <w:pPr>
        <w:spacing w:after="120" w:line="240" w:lineRule="auto"/>
        <w:ind w:firstLine="709"/>
        <w:jc w:val="both"/>
        <w:rPr>
          <w:rFonts w:ascii="Times New Roman" w:hAnsi="Times New Roman" w:cs="Times New Roman"/>
          <w:sz w:val="24"/>
          <w:szCs w:val="24"/>
        </w:rPr>
      </w:pPr>
      <w:r w:rsidRPr="00150A24">
        <w:rPr>
          <w:rFonts w:ascii="Times New Roman" w:hAnsi="Times New Roman" w:cs="Times New Roman"/>
          <w:sz w:val="24"/>
          <w:szCs w:val="24"/>
        </w:rPr>
        <w:t>Prezados Avaliadores e Editor,</w:t>
      </w:r>
    </w:p>
    <w:p w:rsidR="006B4011" w:rsidRPr="006B4011" w:rsidRDefault="006B4011" w:rsidP="00E27C08">
      <w:pPr>
        <w:spacing w:after="120" w:line="240" w:lineRule="auto"/>
        <w:ind w:firstLine="709"/>
        <w:jc w:val="both"/>
        <w:rPr>
          <w:rFonts w:ascii="Times New Roman" w:hAnsi="Times New Roman" w:cs="Times New Roman"/>
          <w:sz w:val="24"/>
          <w:szCs w:val="24"/>
        </w:rPr>
      </w:pPr>
      <w:r w:rsidRPr="006B4011">
        <w:rPr>
          <w:rFonts w:ascii="Times New Roman" w:hAnsi="Times New Roman" w:cs="Times New Roman"/>
          <w:sz w:val="24"/>
          <w:szCs w:val="24"/>
        </w:rPr>
        <w:t>Atendendo às recomendações recebidas em</w:t>
      </w:r>
      <w:r>
        <w:rPr>
          <w:rFonts w:ascii="Times New Roman" w:hAnsi="Times New Roman" w:cs="Times New Roman"/>
          <w:sz w:val="24"/>
          <w:szCs w:val="24"/>
        </w:rPr>
        <w:t xml:space="preserve"> </w:t>
      </w:r>
      <w:r w:rsidR="002B16EB">
        <w:rPr>
          <w:rFonts w:ascii="Times New Roman" w:hAnsi="Times New Roman" w:cs="Times New Roman"/>
          <w:sz w:val="24"/>
          <w:szCs w:val="24"/>
        </w:rPr>
        <w:t xml:space="preserve">09 </w:t>
      </w:r>
      <w:r>
        <w:rPr>
          <w:rFonts w:ascii="Times New Roman" w:hAnsi="Times New Roman" w:cs="Times New Roman"/>
          <w:sz w:val="24"/>
          <w:szCs w:val="24"/>
        </w:rPr>
        <w:t xml:space="preserve">de </w:t>
      </w:r>
      <w:r w:rsidR="002B16EB">
        <w:rPr>
          <w:rFonts w:ascii="Times New Roman" w:hAnsi="Times New Roman" w:cs="Times New Roman"/>
          <w:sz w:val="24"/>
          <w:szCs w:val="24"/>
        </w:rPr>
        <w:t xml:space="preserve">agosto </w:t>
      </w:r>
      <w:r>
        <w:rPr>
          <w:rFonts w:ascii="Times New Roman" w:hAnsi="Times New Roman" w:cs="Times New Roman"/>
          <w:sz w:val="24"/>
          <w:szCs w:val="24"/>
        </w:rPr>
        <w:t>de 2016</w:t>
      </w:r>
      <w:r w:rsidRPr="006B4011">
        <w:rPr>
          <w:rFonts w:ascii="Times New Roman" w:hAnsi="Times New Roman" w:cs="Times New Roman"/>
          <w:sz w:val="24"/>
          <w:szCs w:val="24"/>
        </w:rPr>
        <w:t xml:space="preserve">, as autoras deste artigo apresentam a </w:t>
      </w:r>
      <w:r w:rsidR="002B16EB">
        <w:rPr>
          <w:rFonts w:ascii="Times New Roman" w:hAnsi="Times New Roman" w:cs="Times New Roman"/>
          <w:sz w:val="24"/>
          <w:szCs w:val="24"/>
        </w:rPr>
        <w:t xml:space="preserve">terceira </w:t>
      </w:r>
      <w:r w:rsidRPr="006B4011">
        <w:rPr>
          <w:rFonts w:ascii="Times New Roman" w:hAnsi="Times New Roman" w:cs="Times New Roman"/>
          <w:sz w:val="24"/>
          <w:szCs w:val="24"/>
        </w:rPr>
        <w:t>versão revisada do mesmo, em resposta aos questionamentos apresentados nos pareceres dos avaliadores.</w:t>
      </w:r>
    </w:p>
    <w:p w:rsidR="006B4011" w:rsidRPr="006B4011" w:rsidRDefault="006B4011" w:rsidP="006B4011">
      <w:pPr>
        <w:spacing w:line="240" w:lineRule="auto"/>
        <w:jc w:val="both"/>
        <w:rPr>
          <w:rFonts w:ascii="Times New Roman" w:hAnsi="Times New Roman" w:cs="Times New Roman"/>
          <w:sz w:val="24"/>
          <w:szCs w:val="24"/>
        </w:rPr>
      </w:pPr>
      <w:r w:rsidRPr="006B4011">
        <w:rPr>
          <w:rFonts w:ascii="Times New Roman" w:hAnsi="Times New Roman" w:cs="Times New Roman"/>
          <w:sz w:val="24"/>
          <w:szCs w:val="24"/>
        </w:rPr>
        <w:tab/>
        <w:t xml:space="preserve">Cumpre salientar que as autoras agradecem a leitura criteriosa dos pareceristas, cujas recomendações foram, não apenas acatadas, mas fonte de reflexão e inspiração para reformulações mais substantivas do texto. Nesse sentido, a </w:t>
      </w:r>
      <w:r w:rsidR="002B16EB">
        <w:rPr>
          <w:rFonts w:ascii="Times New Roman" w:hAnsi="Times New Roman" w:cs="Times New Roman"/>
          <w:sz w:val="24"/>
          <w:szCs w:val="24"/>
        </w:rPr>
        <w:t>terceira</w:t>
      </w:r>
      <w:r w:rsidR="002B16EB" w:rsidRPr="006B4011">
        <w:rPr>
          <w:rFonts w:ascii="Times New Roman" w:hAnsi="Times New Roman" w:cs="Times New Roman"/>
          <w:sz w:val="24"/>
          <w:szCs w:val="24"/>
        </w:rPr>
        <w:t xml:space="preserve"> </w:t>
      </w:r>
      <w:r w:rsidRPr="006B4011">
        <w:rPr>
          <w:rFonts w:ascii="Times New Roman" w:hAnsi="Times New Roman" w:cs="Times New Roman"/>
          <w:sz w:val="24"/>
          <w:szCs w:val="24"/>
        </w:rPr>
        <w:t>versão ora apresentada para apreciação resulta de trabalho de revisão textual e de um processo de decisão quanto à natureza da reformulação dos conteúdos apresentados abaixo:</w:t>
      </w:r>
    </w:p>
    <w:p w:rsidR="006B4011" w:rsidRDefault="006B4011" w:rsidP="006B4011">
      <w:pPr>
        <w:spacing w:line="240" w:lineRule="auto"/>
        <w:jc w:val="both"/>
        <w:rPr>
          <w:rFonts w:ascii="Times New Roman" w:hAnsi="Times New Roman" w:cs="Times New Roman"/>
          <w:sz w:val="24"/>
          <w:szCs w:val="24"/>
        </w:rPr>
      </w:pPr>
      <w:r w:rsidRPr="006B4011">
        <w:rPr>
          <w:rFonts w:ascii="Times New Roman" w:hAnsi="Times New Roman" w:cs="Times New Roman"/>
          <w:sz w:val="24"/>
          <w:szCs w:val="24"/>
        </w:rPr>
        <w:tab/>
        <w:t>Seguem as observações, sugestões e solicitações identificadas pelos avaliadores e as respectivas reformulações feitas pelas autoras:</w:t>
      </w:r>
    </w:p>
    <w:p w:rsidR="00430F5E" w:rsidRPr="00430F5E" w:rsidRDefault="00430F5E" w:rsidP="006B4011">
      <w:pPr>
        <w:spacing w:line="240" w:lineRule="auto"/>
        <w:jc w:val="both"/>
        <w:rPr>
          <w:rFonts w:ascii="Times New Roman" w:hAnsi="Times New Roman" w:cs="Times New Roman"/>
          <w:b/>
          <w:sz w:val="24"/>
          <w:szCs w:val="24"/>
          <w:u w:val="single"/>
        </w:rPr>
      </w:pPr>
      <w:r w:rsidRPr="00430F5E">
        <w:rPr>
          <w:rFonts w:ascii="Times New Roman" w:hAnsi="Times New Roman" w:cs="Times New Roman"/>
          <w:b/>
          <w:sz w:val="24"/>
          <w:szCs w:val="24"/>
          <w:u w:val="single"/>
        </w:rPr>
        <w:t xml:space="preserve">Avaliador </w:t>
      </w:r>
      <w:r w:rsidR="00066EE8">
        <w:rPr>
          <w:rFonts w:ascii="Times New Roman" w:hAnsi="Times New Roman" w:cs="Times New Roman"/>
          <w:b/>
          <w:sz w:val="24"/>
          <w:szCs w:val="24"/>
          <w:u w:val="single"/>
        </w:rPr>
        <w:t>B</w:t>
      </w:r>
    </w:p>
    <w:p w:rsidR="00430F5E" w:rsidRPr="00430F5E" w:rsidRDefault="003235BC" w:rsidP="00430F5E">
      <w:pPr>
        <w:pStyle w:val="PargrafodaLista"/>
        <w:numPr>
          <w:ilvl w:val="0"/>
          <w:numId w:val="1"/>
        </w:numPr>
        <w:spacing w:line="240" w:lineRule="auto"/>
        <w:jc w:val="both"/>
        <w:rPr>
          <w:rFonts w:ascii="Times New Roman" w:hAnsi="Times New Roman" w:cs="Times New Roman"/>
          <w:b/>
          <w:sz w:val="24"/>
          <w:szCs w:val="24"/>
        </w:rPr>
      </w:pPr>
      <w:r w:rsidRPr="006B4011">
        <w:rPr>
          <w:rFonts w:ascii="Times New Roman" w:hAnsi="Times New Roman" w:cs="Times New Roman"/>
          <w:b/>
          <w:sz w:val="24"/>
          <w:szCs w:val="24"/>
        </w:rPr>
        <w:t xml:space="preserve">Parte </w:t>
      </w:r>
      <w:r w:rsidR="008804B3" w:rsidRPr="008804B3">
        <w:rPr>
          <w:rFonts w:ascii="Times New Roman" w:hAnsi="Times New Roman" w:cs="Times New Roman"/>
          <w:b/>
          <w:sz w:val="24"/>
          <w:szCs w:val="24"/>
        </w:rPr>
        <w:t>4: Sugestões para melhoria quanto à forma (estrutura, linguagem,</w:t>
      </w:r>
      <w:r w:rsidR="008804B3">
        <w:rPr>
          <w:rFonts w:ascii="Times New Roman" w:hAnsi="Times New Roman" w:cs="Times New Roman"/>
          <w:b/>
          <w:sz w:val="24"/>
          <w:szCs w:val="24"/>
        </w:rPr>
        <w:t xml:space="preserve"> </w:t>
      </w:r>
      <w:r w:rsidR="008804B3" w:rsidRPr="008804B3">
        <w:rPr>
          <w:rFonts w:ascii="Times New Roman" w:hAnsi="Times New Roman" w:cs="Times New Roman"/>
          <w:b/>
          <w:sz w:val="24"/>
          <w:szCs w:val="24"/>
        </w:rPr>
        <w:t>legibilidade):</w:t>
      </w:r>
    </w:p>
    <w:p w:rsidR="007D5EBB" w:rsidRDefault="006A6D8B" w:rsidP="00430F5E">
      <w:pPr>
        <w:spacing w:line="240" w:lineRule="auto"/>
        <w:jc w:val="both"/>
        <w:rPr>
          <w:rFonts w:ascii="Times New Roman" w:hAnsi="Times New Roman" w:cs="Times New Roman"/>
          <w:i/>
          <w:sz w:val="24"/>
          <w:szCs w:val="24"/>
        </w:rPr>
      </w:pPr>
      <w:r>
        <w:rPr>
          <w:rFonts w:ascii="Times New Roman" w:hAnsi="Times New Roman" w:cs="Times New Roman"/>
          <w:i/>
          <w:sz w:val="24"/>
          <w:szCs w:val="24"/>
        </w:rPr>
        <w:t>1) P</w:t>
      </w:r>
      <w:r w:rsidR="008804B3" w:rsidRPr="00430F5E">
        <w:rPr>
          <w:rFonts w:ascii="Times New Roman" w:hAnsi="Times New Roman" w:cs="Times New Roman"/>
          <w:i/>
          <w:sz w:val="24"/>
          <w:szCs w:val="24"/>
        </w:rPr>
        <w:t>equenos erros de grafia: pág. 3 em objetivos específicos retificar</w:t>
      </w:r>
      <w:r w:rsidR="00E27C08" w:rsidRPr="00430F5E">
        <w:rPr>
          <w:rFonts w:ascii="Times New Roman" w:hAnsi="Times New Roman" w:cs="Times New Roman"/>
          <w:i/>
          <w:sz w:val="24"/>
          <w:szCs w:val="24"/>
        </w:rPr>
        <w:t xml:space="preserve"> </w:t>
      </w:r>
      <w:r w:rsidR="008804B3" w:rsidRPr="00430F5E">
        <w:rPr>
          <w:rFonts w:ascii="Times New Roman" w:hAnsi="Times New Roman" w:cs="Times New Roman"/>
          <w:i/>
          <w:sz w:val="24"/>
          <w:szCs w:val="24"/>
        </w:rPr>
        <w:t>"DENCIAÇÃO "; pág. 14 no 1º parágrafo retificar "presentess"; pág. 16</w:t>
      </w:r>
      <w:r w:rsidR="00E27C08" w:rsidRPr="00430F5E">
        <w:rPr>
          <w:rFonts w:ascii="Times New Roman" w:hAnsi="Times New Roman" w:cs="Times New Roman"/>
          <w:i/>
          <w:sz w:val="24"/>
          <w:szCs w:val="24"/>
        </w:rPr>
        <w:t xml:space="preserve"> </w:t>
      </w:r>
      <w:r w:rsidR="008804B3" w:rsidRPr="00430F5E">
        <w:rPr>
          <w:rFonts w:ascii="Times New Roman" w:hAnsi="Times New Roman" w:cs="Times New Roman"/>
          <w:i/>
          <w:sz w:val="24"/>
          <w:szCs w:val="24"/>
        </w:rPr>
        <w:t>nas considerações finais "intngíveis".</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430F5E" w:rsidRPr="00403F48" w:rsidTr="00430F5E">
        <w:trPr>
          <w:trHeight w:val="236"/>
        </w:trPr>
        <w:tc>
          <w:tcPr>
            <w:tcW w:w="9706" w:type="dxa"/>
          </w:tcPr>
          <w:p w:rsidR="00430F5E" w:rsidRPr="004E18C4" w:rsidRDefault="00430F5E" w:rsidP="00FE1251">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t>Comentário</w:t>
            </w:r>
          </w:p>
        </w:tc>
      </w:tr>
      <w:tr w:rsidR="00430F5E" w:rsidRPr="00403F48" w:rsidTr="00D27FE5">
        <w:trPr>
          <w:trHeight w:val="295"/>
        </w:trPr>
        <w:tc>
          <w:tcPr>
            <w:tcW w:w="9706" w:type="dxa"/>
          </w:tcPr>
          <w:p w:rsidR="00430F5E" w:rsidRPr="004E18C4" w:rsidRDefault="00430F5E" w:rsidP="00D27FE5">
            <w:pPr>
              <w:spacing w:after="0" w:line="240" w:lineRule="auto"/>
              <w:jc w:val="both"/>
              <w:rPr>
                <w:rFonts w:ascii="Times New Roman" w:hAnsi="Times New Roman" w:cs="Times New Roman"/>
                <w:sz w:val="24"/>
                <w:szCs w:val="24"/>
              </w:rPr>
            </w:pPr>
            <w:r w:rsidRPr="00403F48">
              <w:rPr>
                <w:rFonts w:ascii="Times New Roman" w:hAnsi="Times New Roman" w:cs="Times New Roman"/>
                <w:sz w:val="24"/>
                <w:szCs w:val="24"/>
              </w:rPr>
              <w:t>O</w:t>
            </w:r>
            <w:r>
              <w:rPr>
                <w:rFonts w:ascii="Times New Roman" w:hAnsi="Times New Roman" w:cs="Times New Roman"/>
                <w:sz w:val="24"/>
                <w:szCs w:val="24"/>
              </w:rPr>
              <w:t>s ajustes foram realizados no texto.</w:t>
            </w:r>
            <w:r w:rsidRPr="00403F48">
              <w:rPr>
                <w:rFonts w:ascii="Times New Roman" w:hAnsi="Times New Roman" w:cs="Times New Roman"/>
                <w:sz w:val="24"/>
                <w:szCs w:val="24"/>
              </w:rPr>
              <w:t xml:space="preserve"> </w:t>
            </w:r>
          </w:p>
        </w:tc>
      </w:tr>
    </w:tbl>
    <w:p w:rsidR="00430F5E" w:rsidRDefault="00430F5E" w:rsidP="00430F5E">
      <w:pPr>
        <w:spacing w:line="240" w:lineRule="auto"/>
        <w:jc w:val="both"/>
        <w:rPr>
          <w:rFonts w:ascii="Times New Roman" w:hAnsi="Times New Roman" w:cs="Times New Roman"/>
          <w:i/>
          <w:sz w:val="24"/>
          <w:szCs w:val="24"/>
        </w:rPr>
      </w:pPr>
    </w:p>
    <w:p w:rsidR="00A0590A" w:rsidRPr="00430F5E" w:rsidRDefault="00A0590A" w:rsidP="00A0590A">
      <w:pPr>
        <w:spacing w:line="240" w:lineRule="auto"/>
        <w:jc w:val="both"/>
        <w:rPr>
          <w:rFonts w:ascii="Times New Roman" w:hAnsi="Times New Roman" w:cs="Times New Roman"/>
          <w:b/>
          <w:sz w:val="24"/>
          <w:szCs w:val="24"/>
          <w:u w:val="single"/>
        </w:rPr>
      </w:pPr>
      <w:r w:rsidRPr="00430F5E">
        <w:rPr>
          <w:rFonts w:ascii="Times New Roman" w:hAnsi="Times New Roman" w:cs="Times New Roman"/>
          <w:b/>
          <w:sz w:val="24"/>
          <w:szCs w:val="24"/>
          <w:u w:val="single"/>
        </w:rPr>
        <w:t xml:space="preserve">Avaliador </w:t>
      </w:r>
      <w:r>
        <w:rPr>
          <w:rFonts w:ascii="Times New Roman" w:hAnsi="Times New Roman" w:cs="Times New Roman"/>
          <w:b/>
          <w:sz w:val="24"/>
          <w:szCs w:val="24"/>
          <w:u w:val="single"/>
        </w:rPr>
        <w:t>C</w:t>
      </w:r>
    </w:p>
    <w:p w:rsidR="00A0590A" w:rsidRPr="00430F5E" w:rsidRDefault="00A0590A" w:rsidP="00A0590A">
      <w:pPr>
        <w:pStyle w:val="PargrafodaLista"/>
        <w:numPr>
          <w:ilvl w:val="0"/>
          <w:numId w:val="1"/>
        </w:numPr>
        <w:spacing w:line="240" w:lineRule="auto"/>
        <w:jc w:val="both"/>
        <w:rPr>
          <w:rFonts w:ascii="Times New Roman" w:hAnsi="Times New Roman" w:cs="Times New Roman"/>
          <w:b/>
          <w:sz w:val="24"/>
          <w:szCs w:val="24"/>
        </w:rPr>
      </w:pPr>
      <w:r w:rsidRPr="006B4011">
        <w:rPr>
          <w:rFonts w:ascii="Times New Roman" w:hAnsi="Times New Roman" w:cs="Times New Roman"/>
          <w:b/>
          <w:sz w:val="24"/>
          <w:szCs w:val="24"/>
        </w:rPr>
        <w:t xml:space="preserve">Parte </w:t>
      </w:r>
      <w:r>
        <w:rPr>
          <w:rFonts w:ascii="Times New Roman" w:hAnsi="Times New Roman" w:cs="Times New Roman"/>
          <w:b/>
          <w:sz w:val="24"/>
          <w:szCs w:val="24"/>
        </w:rPr>
        <w:t>3</w:t>
      </w:r>
      <w:r w:rsidRPr="008804B3">
        <w:rPr>
          <w:rFonts w:ascii="Times New Roman" w:hAnsi="Times New Roman" w:cs="Times New Roman"/>
          <w:b/>
          <w:sz w:val="24"/>
          <w:szCs w:val="24"/>
        </w:rPr>
        <w:t xml:space="preserve">: </w:t>
      </w:r>
      <w:r w:rsidRPr="00A0590A">
        <w:rPr>
          <w:rFonts w:ascii="Times New Roman" w:hAnsi="Times New Roman" w:cs="Times New Roman"/>
          <w:b/>
          <w:sz w:val="24"/>
          <w:szCs w:val="24"/>
        </w:rPr>
        <w:t>Sugestões para melhoria quanto ao conteúdo (introdução, desenvolvimento, metodo</w:t>
      </w:r>
      <w:r>
        <w:rPr>
          <w:rFonts w:ascii="Times New Roman" w:hAnsi="Times New Roman" w:cs="Times New Roman"/>
          <w:b/>
          <w:sz w:val="24"/>
          <w:szCs w:val="24"/>
        </w:rPr>
        <w:t>logia, conclusão)</w:t>
      </w:r>
      <w:r w:rsidRPr="008804B3">
        <w:rPr>
          <w:rFonts w:ascii="Times New Roman" w:hAnsi="Times New Roman" w:cs="Times New Roman"/>
          <w:b/>
          <w:sz w:val="24"/>
          <w:szCs w:val="24"/>
        </w:rPr>
        <w:t>:</w:t>
      </w:r>
    </w:p>
    <w:p w:rsidR="006B4011" w:rsidRDefault="00A0590A" w:rsidP="002B16EB">
      <w:pPr>
        <w:spacing w:after="120"/>
        <w:jc w:val="both"/>
        <w:rPr>
          <w:rFonts w:ascii="Times New Roman" w:hAnsi="Times New Roman" w:cs="Times New Roman"/>
          <w:i/>
          <w:sz w:val="24"/>
          <w:szCs w:val="24"/>
        </w:rPr>
      </w:pPr>
      <w:r w:rsidRPr="00A0590A">
        <w:rPr>
          <w:rFonts w:ascii="Times New Roman" w:hAnsi="Times New Roman" w:cs="Times New Roman"/>
          <w:i/>
          <w:sz w:val="24"/>
          <w:szCs w:val="24"/>
        </w:rPr>
        <w:t xml:space="preserve">1) </w:t>
      </w:r>
      <w:r w:rsidR="002B16EB" w:rsidRPr="00A0590A">
        <w:rPr>
          <w:rFonts w:ascii="Times New Roman" w:hAnsi="Times New Roman" w:cs="Times New Roman"/>
          <w:i/>
          <w:sz w:val="24"/>
          <w:szCs w:val="24"/>
        </w:rPr>
        <w:t>O primeiro argumento utilizado (1º parágrafo) na introdução está deslocado. Em nenhum</w:t>
      </w:r>
      <w:r w:rsidR="002B16EB" w:rsidRPr="002B16EB">
        <w:rPr>
          <w:rFonts w:ascii="Times New Roman" w:hAnsi="Times New Roman" w:cs="Times New Roman"/>
          <w:i/>
          <w:sz w:val="24"/>
          <w:szCs w:val="24"/>
        </w:rPr>
        <w:t xml:space="preserve"> momento é explorado a questão da qualidade da</w:t>
      </w:r>
      <w:r w:rsidR="002B16EB">
        <w:rPr>
          <w:rFonts w:ascii="Times New Roman" w:hAnsi="Times New Roman" w:cs="Times New Roman"/>
          <w:i/>
          <w:sz w:val="24"/>
          <w:szCs w:val="24"/>
        </w:rPr>
        <w:t xml:space="preserve"> </w:t>
      </w:r>
      <w:r w:rsidR="002B16EB" w:rsidRPr="002B16EB">
        <w:rPr>
          <w:rFonts w:ascii="Times New Roman" w:hAnsi="Times New Roman" w:cs="Times New Roman"/>
          <w:i/>
          <w:sz w:val="24"/>
          <w:szCs w:val="24"/>
        </w:rPr>
        <w:t>informaçã</w:t>
      </w:r>
      <w:r w:rsidR="002B16EB">
        <w:rPr>
          <w:rFonts w:ascii="Times New Roman" w:hAnsi="Times New Roman" w:cs="Times New Roman"/>
          <w:i/>
          <w:sz w:val="24"/>
          <w:szCs w:val="24"/>
        </w:rPr>
        <w:t>o e redução do custo de capital</w:t>
      </w:r>
      <w:r w:rsidR="006B4011" w:rsidRPr="00CB491F">
        <w:rPr>
          <w:rFonts w:ascii="Times New Roman" w:hAnsi="Times New Roman" w:cs="Times New Roman"/>
          <w:i/>
          <w:sz w:val="24"/>
          <w:szCs w:val="24"/>
        </w:rPr>
        <w:t>.</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6A6D8B" w:rsidRPr="00403F48" w:rsidTr="009C3C0B">
        <w:trPr>
          <w:trHeight w:val="236"/>
        </w:trPr>
        <w:tc>
          <w:tcPr>
            <w:tcW w:w="9706" w:type="dxa"/>
          </w:tcPr>
          <w:p w:rsidR="006A6D8B" w:rsidRPr="004E18C4" w:rsidRDefault="006A6D8B" w:rsidP="009C3C0B">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t>Comentário</w:t>
            </w:r>
          </w:p>
        </w:tc>
      </w:tr>
      <w:tr w:rsidR="006A6D8B" w:rsidRPr="00403F48" w:rsidTr="00D27FE5">
        <w:trPr>
          <w:trHeight w:val="239"/>
        </w:trPr>
        <w:tc>
          <w:tcPr>
            <w:tcW w:w="9706" w:type="dxa"/>
          </w:tcPr>
          <w:p w:rsidR="006A6D8B" w:rsidRPr="004E18C4" w:rsidRDefault="006A6D8B" w:rsidP="00D27FE5">
            <w:pPr>
              <w:spacing w:after="0" w:line="240" w:lineRule="auto"/>
              <w:jc w:val="both"/>
              <w:rPr>
                <w:rFonts w:ascii="Times New Roman" w:hAnsi="Times New Roman" w:cs="Times New Roman"/>
                <w:sz w:val="24"/>
                <w:szCs w:val="24"/>
              </w:rPr>
            </w:pPr>
            <w:r w:rsidRPr="00403F48">
              <w:rPr>
                <w:rFonts w:ascii="Times New Roman" w:hAnsi="Times New Roman" w:cs="Times New Roman"/>
                <w:sz w:val="24"/>
                <w:szCs w:val="24"/>
              </w:rPr>
              <w:t>O</w:t>
            </w:r>
            <w:r>
              <w:rPr>
                <w:rFonts w:ascii="Times New Roman" w:hAnsi="Times New Roman" w:cs="Times New Roman"/>
                <w:sz w:val="24"/>
                <w:szCs w:val="24"/>
              </w:rPr>
              <w:t xml:space="preserve"> primeiro parágrafo da introdução foi excluído.</w:t>
            </w:r>
            <w:r w:rsidRPr="00403F48">
              <w:rPr>
                <w:rFonts w:ascii="Times New Roman" w:hAnsi="Times New Roman" w:cs="Times New Roman"/>
                <w:sz w:val="24"/>
                <w:szCs w:val="24"/>
              </w:rPr>
              <w:t xml:space="preserve"> </w:t>
            </w:r>
          </w:p>
        </w:tc>
      </w:tr>
    </w:tbl>
    <w:p w:rsidR="00452F0F" w:rsidRPr="00452F0F" w:rsidRDefault="00452F0F" w:rsidP="00077C85">
      <w:pPr>
        <w:spacing w:after="120"/>
        <w:jc w:val="both"/>
        <w:rPr>
          <w:rFonts w:ascii="Times New Roman" w:hAnsi="Times New Roman" w:cs="Times New Roman"/>
          <w:i/>
          <w:sz w:val="6"/>
          <w:szCs w:val="6"/>
        </w:rPr>
      </w:pPr>
    </w:p>
    <w:p w:rsidR="006B4011" w:rsidRPr="00CB491F" w:rsidRDefault="006A6D8B" w:rsidP="00077C85">
      <w:pPr>
        <w:spacing w:after="120"/>
        <w:jc w:val="both"/>
        <w:rPr>
          <w:rFonts w:ascii="Times New Roman" w:hAnsi="Times New Roman" w:cs="Times New Roman"/>
          <w:i/>
          <w:sz w:val="24"/>
          <w:szCs w:val="24"/>
        </w:rPr>
      </w:pPr>
      <w:r>
        <w:rPr>
          <w:rFonts w:ascii="Times New Roman" w:hAnsi="Times New Roman" w:cs="Times New Roman"/>
          <w:i/>
          <w:sz w:val="24"/>
          <w:szCs w:val="24"/>
        </w:rPr>
        <w:t xml:space="preserve">2) </w:t>
      </w:r>
      <w:r w:rsidR="00077C85" w:rsidRPr="00077C85">
        <w:rPr>
          <w:rFonts w:ascii="Times New Roman" w:hAnsi="Times New Roman" w:cs="Times New Roman"/>
          <w:i/>
          <w:sz w:val="24"/>
          <w:szCs w:val="24"/>
        </w:rPr>
        <w:t>No 4º parágrafo, parece-se contraditório os argumentos.</w:t>
      </w:r>
      <w:r w:rsidR="00077C85">
        <w:rPr>
          <w:rFonts w:ascii="Times New Roman" w:hAnsi="Times New Roman" w:cs="Times New Roman"/>
          <w:i/>
          <w:sz w:val="24"/>
          <w:szCs w:val="24"/>
        </w:rPr>
        <w:t xml:space="preserve"> </w:t>
      </w:r>
      <w:r w:rsidR="00077C85" w:rsidRPr="00077C85">
        <w:rPr>
          <w:rFonts w:ascii="Times New Roman" w:hAnsi="Times New Roman" w:cs="Times New Roman"/>
          <w:i/>
          <w:sz w:val="24"/>
          <w:szCs w:val="24"/>
        </w:rPr>
        <w:t>Se utiliza na introdução uma literatura que prega a divulgação das</w:t>
      </w:r>
      <w:r w:rsidR="00077C85">
        <w:rPr>
          <w:rFonts w:ascii="Times New Roman" w:hAnsi="Times New Roman" w:cs="Times New Roman"/>
          <w:i/>
          <w:sz w:val="24"/>
          <w:szCs w:val="24"/>
        </w:rPr>
        <w:t xml:space="preserve"> </w:t>
      </w:r>
      <w:r w:rsidR="00077C85" w:rsidRPr="00077C85">
        <w:rPr>
          <w:rFonts w:ascii="Times New Roman" w:hAnsi="Times New Roman" w:cs="Times New Roman"/>
          <w:i/>
          <w:sz w:val="24"/>
          <w:szCs w:val="24"/>
        </w:rPr>
        <w:t>informações para o usuário primário dessa informação, que é o mercado</w:t>
      </w:r>
      <w:r w:rsidR="00077C85">
        <w:rPr>
          <w:rFonts w:ascii="Times New Roman" w:hAnsi="Times New Roman" w:cs="Times New Roman"/>
          <w:i/>
          <w:sz w:val="24"/>
          <w:szCs w:val="24"/>
        </w:rPr>
        <w:t xml:space="preserve"> </w:t>
      </w:r>
      <w:r w:rsidR="00077C85" w:rsidRPr="00077C85">
        <w:rPr>
          <w:rFonts w:ascii="Times New Roman" w:hAnsi="Times New Roman" w:cs="Times New Roman"/>
          <w:i/>
          <w:sz w:val="24"/>
          <w:szCs w:val="24"/>
        </w:rPr>
        <w:t>de capitais. Falta uma discussão se essa mesma concepção seria validade</w:t>
      </w:r>
      <w:r w:rsidR="00077C85">
        <w:rPr>
          <w:rFonts w:ascii="Times New Roman" w:hAnsi="Times New Roman" w:cs="Times New Roman"/>
          <w:i/>
          <w:sz w:val="24"/>
          <w:szCs w:val="24"/>
        </w:rPr>
        <w:t xml:space="preserve"> </w:t>
      </w:r>
      <w:r w:rsidR="00077C85" w:rsidRPr="00077C85">
        <w:rPr>
          <w:rFonts w:ascii="Times New Roman" w:hAnsi="Times New Roman" w:cs="Times New Roman"/>
          <w:i/>
          <w:sz w:val="24"/>
          <w:szCs w:val="24"/>
        </w:rPr>
        <w:t>para as entidades constante da amostra, tendo em vista que boa parte das</w:t>
      </w:r>
      <w:r w:rsidR="00077C85">
        <w:rPr>
          <w:rFonts w:ascii="Times New Roman" w:hAnsi="Times New Roman" w:cs="Times New Roman"/>
          <w:i/>
          <w:sz w:val="24"/>
          <w:szCs w:val="24"/>
        </w:rPr>
        <w:t xml:space="preserve"> </w:t>
      </w:r>
      <w:r w:rsidR="00077C85" w:rsidRPr="00077C85">
        <w:rPr>
          <w:rFonts w:ascii="Times New Roman" w:hAnsi="Times New Roman" w:cs="Times New Roman"/>
          <w:i/>
          <w:sz w:val="24"/>
          <w:szCs w:val="24"/>
        </w:rPr>
        <w:t>mesmas não possui ações negociados no mercado de capitais. Sendo assim,</w:t>
      </w:r>
      <w:r w:rsidR="00077C85">
        <w:rPr>
          <w:rFonts w:ascii="Times New Roman" w:hAnsi="Times New Roman" w:cs="Times New Roman"/>
          <w:i/>
          <w:sz w:val="24"/>
          <w:szCs w:val="24"/>
        </w:rPr>
        <w:t xml:space="preserve"> </w:t>
      </w:r>
      <w:r w:rsidR="00077C85" w:rsidRPr="00077C85">
        <w:rPr>
          <w:rFonts w:ascii="Times New Roman" w:hAnsi="Times New Roman" w:cs="Times New Roman"/>
          <w:i/>
          <w:sz w:val="24"/>
          <w:szCs w:val="24"/>
        </w:rPr>
        <w:t>é fraca a problematização do trabalho vis a vis as entidades da amostra.</w:t>
      </w:r>
      <w:r w:rsidR="00077C85">
        <w:rPr>
          <w:rFonts w:ascii="Times New Roman" w:hAnsi="Times New Roman" w:cs="Times New Roman"/>
          <w:i/>
          <w:sz w:val="24"/>
          <w:szCs w:val="24"/>
        </w:rPr>
        <w:t xml:space="preserve"> </w:t>
      </w:r>
      <w:r w:rsidR="00077C85" w:rsidRPr="00077C85">
        <w:rPr>
          <w:rFonts w:ascii="Times New Roman" w:hAnsi="Times New Roman" w:cs="Times New Roman"/>
          <w:i/>
          <w:sz w:val="24"/>
          <w:szCs w:val="24"/>
        </w:rPr>
        <w:t>Ou seja, como abordar a questão da evidenciação em empresas fechadas?</w:t>
      </w:r>
      <w:r w:rsidR="00077C85">
        <w:rPr>
          <w:rFonts w:ascii="Times New Roman" w:hAnsi="Times New Roman" w:cs="Times New Roman"/>
          <w:i/>
          <w:sz w:val="24"/>
          <w:szCs w:val="24"/>
        </w:rPr>
        <w:t xml:space="preserve"> </w:t>
      </w:r>
      <w:r w:rsidR="00077C85" w:rsidRPr="00077C85">
        <w:rPr>
          <w:rFonts w:ascii="Times New Roman" w:hAnsi="Times New Roman" w:cs="Times New Roman"/>
          <w:i/>
          <w:sz w:val="24"/>
          <w:szCs w:val="24"/>
        </w:rPr>
        <w:t>Qual o incentivos delas para se ter informação de qualidade? Quem são os</w:t>
      </w:r>
      <w:r w:rsidR="00077C85">
        <w:rPr>
          <w:rFonts w:ascii="Times New Roman" w:hAnsi="Times New Roman" w:cs="Times New Roman"/>
          <w:i/>
          <w:sz w:val="24"/>
          <w:szCs w:val="24"/>
        </w:rPr>
        <w:t xml:space="preserve"> </w:t>
      </w:r>
      <w:r w:rsidR="00077C85" w:rsidRPr="00077C85">
        <w:rPr>
          <w:rFonts w:ascii="Times New Roman" w:hAnsi="Times New Roman" w:cs="Times New Roman"/>
          <w:i/>
          <w:sz w:val="24"/>
          <w:szCs w:val="24"/>
        </w:rPr>
        <w:t>principais usuários dessas informação.</w:t>
      </w:r>
      <w:r w:rsidR="00077C85" w:rsidRPr="00077C85">
        <w:t xml:space="preserve"> </w:t>
      </w:r>
      <w:r w:rsidR="00077C85" w:rsidRPr="00077C85">
        <w:rPr>
          <w:rFonts w:ascii="Times New Roman" w:hAnsi="Times New Roman" w:cs="Times New Roman"/>
          <w:i/>
          <w:sz w:val="24"/>
          <w:szCs w:val="24"/>
        </w:rPr>
        <w:t>Nesse contexto, a fundamentação teórica é falha ao não trazer para</w:t>
      </w:r>
      <w:r w:rsidR="00077C85">
        <w:rPr>
          <w:rFonts w:ascii="Times New Roman" w:hAnsi="Times New Roman" w:cs="Times New Roman"/>
          <w:i/>
          <w:sz w:val="24"/>
          <w:szCs w:val="24"/>
        </w:rPr>
        <w:t xml:space="preserve"> </w:t>
      </w:r>
      <w:r w:rsidR="00077C85" w:rsidRPr="00077C85">
        <w:rPr>
          <w:rFonts w:ascii="Times New Roman" w:hAnsi="Times New Roman" w:cs="Times New Roman"/>
          <w:i/>
          <w:sz w:val="24"/>
          <w:szCs w:val="24"/>
        </w:rPr>
        <w:t>discussão temas relacionados a divulgação (voluntária/obrigatória),</w:t>
      </w:r>
      <w:r w:rsidR="00077C85">
        <w:rPr>
          <w:rFonts w:ascii="Times New Roman" w:hAnsi="Times New Roman" w:cs="Times New Roman"/>
          <w:i/>
          <w:sz w:val="24"/>
          <w:szCs w:val="24"/>
        </w:rPr>
        <w:t xml:space="preserve"> </w:t>
      </w:r>
      <w:r w:rsidR="00077C85" w:rsidRPr="00077C85">
        <w:rPr>
          <w:rFonts w:ascii="Times New Roman" w:hAnsi="Times New Roman" w:cs="Times New Roman"/>
          <w:i/>
          <w:sz w:val="24"/>
          <w:szCs w:val="24"/>
        </w:rPr>
        <w:t>escolhas contábeis, ambiente institucional.</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BB0D6C" w:rsidRPr="00403F48" w:rsidTr="00BC0791">
        <w:trPr>
          <w:trHeight w:val="236"/>
        </w:trPr>
        <w:tc>
          <w:tcPr>
            <w:tcW w:w="9706" w:type="dxa"/>
          </w:tcPr>
          <w:p w:rsidR="00BB0D6C" w:rsidRPr="004E18C4" w:rsidRDefault="00BB0D6C" w:rsidP="00BC0791">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lastRenderedPageBreak/>
              <w:t>Comentário</w:t>
            </w:r>
          </w:p>
        </w:tc>
      </w:tr>
      <w:tr w:rsidR="00BB0D6C" w:rsidRPr="00403F48" w:rsidTr="00BC0791">
        <w:trPr>
          <w:trHeight w:val="638"/>
        </w:trPr>
        <w:tc>
          <w:tcPr>
            <w:tcW w:w="9706" w:type="dxa"/>
          </w:tcPr>
          <w:p w:rsidR="00BB0D6C" w:rsidRPr="00A646CB" w:rsidRDefault="00BB0D6C" w:rsidP="00A64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Foram realizados os a</w:t>
            </w:r>
            <w:r w:rsidRPr="00E21830">
              <w:rPr>
                <w:rFonts w:ascii="Times New Roman" w:hAnsi="Times New Roman" w:cs="Times New Roman"/>
                <w:sz w:val="24"/>
                <w:szCs w:val="24"/>
              </w:rPr>
              <w:t>juste</w:t>
            </w:r>
            <w:r>
              <w:rPr>
                <w:rFonts w:ascii="Times New Roman" w:hAnsi="Times New Roman" w:cs="Times New Roman"/>
                <w:sz w:val="24"/>
                <w:szCs w:val="24"/>
              </w:rPr>
              <w:t>s solicitados. Ao final do parágrafo foi incluíd</w:t>
            </w:r>
            <w:r w:rsidR="004D517D">
              <w:rPr>
                <w:rFonts w:ascii="Times New Roman" w:hAnsi="Times New Roman" w:cs="Times New Roman"/>
                <w:sz w:val="24"/>
                <w:szCs w:val="24"/>
              </w:rPr>
              <w:t>o</w:t>
            </w:r>
            <w:r>
              <w:rPr>
                <w:rFonts w:ascii="Times New Roman" w:hAnsi="Times New Roman" w:cs="Times New Roman"/>
                <w:sz w:val="24"/>
                <w:szCs w:val="24"/>
              </w:rPr>
              <w:t xml:space="preserve"> </w:t>
            </w:r>
            <w:r w:rsidR="004D517D">
              <w:rPr>
                <w:rFonts w:ascii="Times New Roman" w:hAnsi="Times New Roman" w:cs="Times New Roman"/>
                <w:sz w:val="24"/>
                <w:szCs w:val="24"/>
              </w:rPr>
              <w:t>o seguinte</w:t>
            </w:r>
            <w:r>
              <w:rPr>
                <w:rFonts w:ascii="Times New Roman" w:hAnsi="Times New Roman" w:cs="Times New Roman"/>
                <w:sz w:val="24"/>
                <w:szCs w:val="24"/>
              </w:rPr>
              <w:t xml:space="preserve"> adendo apresentando as razões que ratificam a assertiva anterior. </w:t>
            </w:r>
            <w:r w:rsidRPr="00A646CB">
              <w:rPr>
                <w:rFonts w:ascii="Times New Roman" w:hAnsi="Times New Roman" w:cs="Times New Roman"/>
                <w:i/>
                <w:sz w:val="24"/>
                <w:szCs w:val="24"/>
              </w:rPr>
              <w:t>“</w:t>
            </w:r>
            <w:r w:rsidR="00A646CB" w:rsidRPr="00A646CB">
              <w:rPr>
                <w:rFonts w:ascii="Times New Roman" w:hAnsi="Times New Roman" w:cs="Times New Roman"/>
                <w:i/>
                <w:sz w:val="24"/>
                <w:szCs w:val="24"/>
              </w:rPr>
              <w:t>Diante disso, a divulgação das informações financeiras e patrimoniais dos clubes de futebol, independente do ambiente institucional no qual estão inseridos, tem sido a cada dia mais explorada nos âmbitos empresarial e acadêmico. Assim, apesar de não terem todos os clubes de futebol constantes da amostra deste estudo ações negociadas no mercado de capitais, em geral, os países de origem dos clubes têm requerido nos últimos anos a divulgação das informações financeiras dessas entidades por meio de suas próprias legislações. No caso específico do Brasil, a Lei Nº 13.155/2015 - que estabelece princípios e práticas de responsabilidade fiscal e financeira e de gestão transparente e democrática para entidades desportivas profissionais de futebol; institui parcelamentos especiais para recuperação de dívidas pela União, cria a Autoridade Pública de Governança do Futebol - APFUT; dispõe sobre a gestão temerária no âmbito das entidades desportivas profissionais; cria a Loteria Exclusiva - LOTEX; cria programa de iniciação esportiva escolar; e dá outras providências. O Conselho Federal de Contabilidade - CFC, por sua vez, em 2013 normatizou a situação das entidades desportivas, independente da sua estrutura jurídica (sociedade sem fins lucrativos, sociedade limitada ou sociedade anônima), ao instituir a norma brasileira de contabilidade ITG 2003, criada para estabelecer critérios e procedimentos específicos de avaliação, registro contábil e estruturação das demonstrações contábeis das entidades desportivas profissionais (CFC, 2013).”</w:t>
            </w:r>
          </w:p>
        </w:tc>
      </w:tr>
    </w:tbl>
    <w:p w:rsidR="00D5649D" w:rsidRPr="00BB0D6C" w:rsidRDefault="00D5649D" w:rsidP="00D5649D">
      <w:pPr>
        <w:spacing w:after="120"/>
        <w:jc w:val="both"/>
        <w:rPr>
          <w:rFonts w:ascii="Times New Roman" w:hAnsi="Times New Roman" w:cs="Times New Roman"/>
          <w:i/>
          <w:sz w:val="6"/>
          <w:szCs w:val="6"/>
        </w:rPr>
      </w:pPr>
      <w:r w:rsidRPr="00BB0D6C">
        <w:rPr>
          <w:rFonts w:ascii="Times New Roman" w:hAnsi="Times New Roman" w:cs="Times New Roman"/>
          <w:i/>
          <w:sz w:val="6"/>
          <w:szCs w:val="6"/>
        </w:rPr>
        <w:t xml:space="preserve"> </w:t>
      </w:r>
    </w:p>
    <w:p w:rsidR="006B4011" w:rsidRPr="00CB491F" w:rsidRDefault="00BB0D6C" w:rsidP="00B92563">
      <w:pPr>
        <w:spacing w:after="120"/>
        <w:jc w:val="both"/>
        <w:rPr>
          <w:rFonts w:ascii="Times New Roman" w:hAnsi="Times New Roman" w:cs="Times New Roman"/>
          <w:i/>
          <w:sz w:val="24"/>
          <w:szCs w:val="24"/>
        </w:rPr>
      </w:pPr>
      <w:r>
        <w:rPr>
          <w:rFonts w:ascii="Times New Roman" w:hAnsi="Times New Roman" w:cs="Times New Roman"/>
          <w:i/>
          <w:sz w:val="24"/>
          <w:szCs w:val="24"/>
        </w:rPr>
        <w:t>3)</w:t>
      </w:r>
      <w:r w:rsidR="00DD6798">
        <w:rPr>
          <w:rFonts w:ascii="Times New Roman" w:hAnsi="Times New Roman" w:cs="Times New Roman"/>
          <w:i/>
          <w:sz w:val="24"/>
          <w:szCs w:val="24"/>
        </w:rPr>
        <w:t xml:space="preserve"> </w:t>
      </w:r>
      <w:r w:rsidR="00B92563" w:rsidRPr="00B92563">
        <w:rPr>
          <w:rFonts w:ascii="Times New Roman" w:hAnsi="Times New Roman" w:cs="Times New Roman"/>
          <w:i/>
          <w:sz w:val="24"/>
          <w:szCs w:val="24"/>
        </w:rPr>
        <w:t>Quanto a relevância do trabalho, o que diferencia este dos outros estudos</w:t>
      </w:r>
      <w:r w:rsidR="00B92563">
        <w:rPr>
          <w:rFonts w:ascii="Times New Roman" w:hAnsi="Times New Roman" w:cs="Times New Roman"/>
          <w:i/>
          <w:sz w:val="24"/>
          <w:szCs w:val="24"/>
        </w:rPr>
        <w:t xml:space="preserve"> </w:t>
      </w:r>
      <w:r w:rsidR="00B92563" w:rsidRPr="00B92563">
        <w:rPr>
          <w:rFonts w:ascii="Times New Roman" w:hAnsi="Times New Roman" w:cs="Times New Roman"/>
          <w:i/>
          <w:sz w:val="24"/>
          <w:szCs w:val="24"/>
        </w:rPr>
        <w:t>como aqueles referenciados na introdução?</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6B4D84" w:rsidRPr="00403F48" w:rsidTr="00BC0791">
        <w:trPr>
          <w:trHeight w:val="236"/>
        </w:trPr>
        <w:tc>
          <w:tcPr>
            <w:tcW w:w="9706" w:type="dxa"/>
          </w:tcPr>
          <w:p w:rsidR="006B4D84" w:rsidRPr="004E18C4" w:rsidRDefault="006B4D84" w:rsidP="00BC0791">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t>Comentário</w:t>
            </w:r>
          </w:p>
        </w:tc>
      </w:tr>
      <w:tr w:rsidR="006B4D84" w:rsidRPr="00403F48" w:rsidTr="00BC0791">
        <w:trPr>
          <w:trHeight w:val="638"/>
        </w:trPr>
        <w:tc>
          <w:tcPr>
            <w:tcW w:w="9706" w:type="dxa"/>
          </w:tcPr>
          <w:p w:rsidR="00D27FE5" w:rsidRPr="004E18C4" w:rsidRDefault="006B4D84" w:rsidP="00D27F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Foram realizados os a</w:t>
            </w:r>
            <w:r w:rsidRPr="00E21830">
              <w:rPr>
                <w:rFonts w:ascii="Times New Roman" w:hAnsi="Times New Roman" w:cs="Times New Roman"/>
                <w:sz w:val="24"/>
                <w:szCs w:val="24"/>
              </w:rPr>
              <w:t>juste</w:t>
            </w:r>
            <w:r>
              <w:rPr>
                <w:rFonts w:ascii="Times New Roman" w:hAnsi="Times New Roman" w:cs="Times New Roman"/>
                <w:sz w:val="24"/>
                <w:szCs w:val="24"/>
              </w:rPr>
              <w:t xml:space="preserve">s solicitados no </w:t>
            </w:r>
            <w:r w:rsidR="00DB62CF">
              <w:rPr>
                <w:rFonts w:ascii="Times New Roman" w:hAnsi="Times New Roman" w:cs="Times New Roman"/>
                <w:sz w:val="24"/>
                <w:szCs w:val="24"/>
              </w:rPr>
              <w:t>penúltimo pará</w:t>
            </w:r>
            <w:r>
              <w:rPr>
                <w:rFonts w:ascii="Times New Roman" w:hAnsi="Times New Roman" w:cs="Times New Roman"/>
                <w:sz w:val="24"/>
                <w:szCs w:val="24"/>
              </w:rPr>
              <w:t>grafo da Introdução, acrescentando ao fi</w:t>
            </w:r>
            <w:r w:rsidR="00D27FE5">
              <w:rPr>
                <w:rFonts w:ascii="Times New Roman" w:hAnsi="Times New Roman" w:cs="Times New Roman"/>
                <w:sz w:val="24"/>
                <w:szCs w:val="24"/>
              </w:rPr>
              <w:t>nal o seguinte trecho:</w:t>
            </w:r>
            <w:r>
              <w:rPr>
                <w:rFonts w:ascii="Times New Roman" w:hAnsi="Times New Roman" w:cs="Times New Roman"/>
                <w:sz w:val="24"/>
                <w:szCs w:val="24"/>
              </w:rPr>
              <w:t xml:space="preserve"> </w:t>
            </w:r>
            <w:r w:rsidRPr="00D27FE5">
              <w:rPr>
                <w:rFonts w:ascii="Times New Roman" w:hAnsi="Times New Roman" w:cs="Times New Roman"/>
                <w:i/>
                <w:sz w:val="24"/>
                <w:szCs w:val="24"/>
              </w:rPr>
              <w:t>“</w:t>
            </w:r>
            <w:r w:rsidR="00D27FE5" w:rsidRPr="00D27FE5">
              <w:rPr>
                <w:rFonts w:ascii="Times New Roman" w:hAnsi="Times New Roman"/>
                <w:i/>
                <w:sz w:val="24"/>
                <w:szCs w:val="24"/>
              </w:rPr>
              <w:t>Apesar da incidência de alguns estudos sobre clubes esportivos encontrados na revisão de literatura realizada, verifica-se uma lacuna quanto a trabalhos que contemplem maior quantidade de clubes, e ainda que utilizem técnicas estatísticas capazes de verificar a associação entre os intangíveis e o desempenho dos clubes. Assim, este estudo se diferencia dos demais à medida que investiga a associação entre o ativo intangível com evidenciação contábil e o desempenho econômico de importantes clubes com alcance nacional e internacional por meio da adoção de proxies, como AIG e RAI, não exploradas até o momento em estudos em clubes de futebol nacionais e estrangeiros como o que se apresenta.</w:t>
            </w:r>
            <w:r w:rsidR="00D27FE5" w:rsidRPr="00D27FE5">
              <w:rPr>
                <w:rFonts w:ascii="Times New Roman" w:hAnsi="Times New Roman"/>
                <w:i/>
                <w:sz w:val="24"/>
                <w:szCs w:val="24"/>
              </w:rPr>
              <w:t>”</w:t>
            </w:r>
          </w:p>
        </w:tc>
      </w:tr>
    </w:tbl>
    <w:p w:rsidR="00331FC1" w:rsidRPr="006B4D84" w:rsidRDefault="00331FC1" w:rsidP="00331FC1">
      <w:pPr>
        <w:spacing w:after="120" w:line="240" w:lineRule="auto"/>
        <w:jc w:val="both"/>
        <w:rPr>
          <w:rFonts w:ascii="Times New Roman" w:hAnsi="Times New Roman" w:cs="Times New Roman"/>
          <w:sz w:val="6"/>
          <w:szCs w:val="6"/>
        </w:rPr>
      </w:pPr>
    </w:p>
    <w:p w:rsidR="006B4011" w:rsidRPr="0015505A" w:rsidRDefault="006B4D84" w:rsidP="00B92563">
      <w:pPr>
        <w:spacing w:after="120"/>
        <w:jc w:val="both"/>
        <w:rPr>
          <w:rFonts w:ascii="Times New Roman" w:hAnsi="Times New Roman" w:cs="Times New Roman"/>
          <w:i/>
          <w:sz w:val="24"/>
          <w:szCs w:val="24"/>
        </w:rPr>
      </w:pPr>
      <w:r>
        <w:rPr>
          <w:rFonts w:ascii="Times New Roman" w:hAnsi="Times New Roman" w:cs="Times New Roman"/>
          <w:i/>
          <w:sz w:val="24"/>
          <w:szCs w:val="24"/>
        </w:rPr>
        <w:t xml:space="preserve">4) </w:t>
      </w:r>
      <w:r w:rsidR="00B92563" w:rsidRPr="00B92563">
        <w:rPr>
          <w:rFonts w:ascii="Times New Roman" w:hAnsi="Times New Roman" w:cs="Times New Roman"/>
          <w:i/>
          <w:sz w:val="24"/>
          <w:szCs w:val="24"/>
        </w:rPr>
        <w:t>O que significa denciação?</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D27FE5" w:rsidRPr="00403F48" w:rsidTr="00BC0791">
        <w:trPr>
          <w:trHeight w:val="236"/>
        </w:trPr>
        <w:tc>
          <w:tcPr>
            <w:tcW w:w="9706" w:type="dxa"/>
          </w:tcPr>
          <w:p w:rsidR="00D27FE5" w:rsidRPr="004E18C4" w:rsidRDefault="00D27FE5" w:rsidP="00BC0791">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t>Comentário</w:t>
            </w:r>
          </w:p>
        </w:tc>
      </w:tr>
      <w:tr w:rsidR="00D27FE5" w:rsidRPr="00403F48" w:rsidTr="00BC0791">
        <w:trPr>
          <w:trHeight w:val="295"/>
        </w:trPr>
        <w:tc>
          <w:tcPr>
            <w:tcW w:w="9706" w:type="dxa"/>
          </w:tcPr>
          <w:p w:rsidR="00D27FE5" w:rsidRPr="004E18C4" w:rsidRDefault="00D27FE5" w:rsidP="00D27FE5">
            <w:pPr>
              <w:spacing w:after="0" w:line="240" w:lineRule="auto"/>
              <w:jc w:val="both"/>
              <w:rPr>
                <w:rFonts w:ascii="Times New Roman" w:hAnsi="Times New Roman" w:cs="Times New Roman"/>
                <w:sz w:val="24"/>
                <w:szCs w:val="24"/>
              </w:rPr>
            </w:pPr>
            <w:r w:rsidRPr="00403F48">
              <w:rPr>
                <w:rFonts w:ascii="Times New Roman" w:hAnsi="Times New Roman" w:cs="Times New Roman"/>
                <w:sz w:val="24"/>
                <w:szCs w:val="24"/>
              </w:rPr>
              <w:t>O</w:t>
            </w:r>
            <w:r>
              <w:rPr>
                <w:rFonts w:ascii="Times New Roman" w:hAnsi="Times New Roman" w:cs="Times New Roman"/>
                <w:sz w:val="24"/>
                <w:szCs w:val="24"/>
              </w:rPr>
              <w:t xml:space="preserve"> ajuste fo</w:t>
            </w:r>
            <w:r>
              <w:rPr>
                <w:rFonts w:ascii="Times New Roman" w:hAnsi="Times New Roman" w:cs="Times New Roman"/>
                <w:sz w:val="24"/>
                <w:szCs w:val="24"/>
              </w:rPr>
              <w:t xml:space="preserve">i </w:t>
            </w:r>
            <w:r>
              <w:rPr>
                <w:rFonts w:ascii="Times New Roman" w:hAnsi="Times New Roman" w:cs="Times New Roman"/>
                <w:sz w:val="24"/>
                <w:szCs w:val="24"/>
              </w:rPr>
              <w:t>realizado no texto.</w:t>
            </w:r>
            <w:r w:rsidRPr="00403F48">
              <w:rPr>
                <w:rFonts w:ascii="Times New Roman" w:hAnsi="Times New Roman" w:cs="Times New Roman"/>
                <w:sz w:val="24"/>
                <w:szCs w:val="24"/>
              </w:rPr>
              <w:t xml:space="preserve"> </w:t>
            </w:r>
          </w:p>
        </w:tc>
      </w:tr>
    </w:tbl>
    <w:p w:rsidR="006B4011" w:rsidRPr="00D27FE5" w:rsidRDefault="006B4011" w:rsidP="006B4011">
      <w:pPr>
        <w:spacing w:after="120" w:line="240" w:lineRule="auto"/>
        <w:jc w:val="both"/>
        <w:rPr>
          <w:rFonts w:ascii="Times New Roman" w:hAnsi="Times New Roman" w:cs="Times New Roman"/>
          <w:b/>
          <w:sz w:val="6"/>
          <w:szCs w:val="6"/>
        </w:rPr>
      </w:pPr>
    </w:p>
    <w:p w:rsidR="006B4011" w:rsidRPr="00D27FE5" w:rsidRDefault="00D27FE5" w:rsidP="00B92563">
      <w:pPr>
        <w:spacing w:after="120" w:line="240" w:lineRule="auto"/>
        <w:jc w:val="both"/>
        <w:rPr>
          <w:rFonts w:ascii="Times New Roman" w:hAnsi="Times New Roman" w:cs="Times New Roman"/>
          <w:b/>
          <w:color w:val="2A2A2A"/>
          <w:sz w:val="24"/>
          <w:szCs w:val="24"/>
        </w:rPr>
      </w:pPr>
      <w:r>
        <w:rPr>
          <w:rFonts w:ascii="Times New Roman" w:hAnsi="Times New Roman" w:cs="Times New Roman"/>
          <w:i/>
          <w:sz w:val="24"/>
          <w:szCs w:val="24"/>
        </w:rPr>
        <w:t xml:space="preserve">5) </w:t>
      </w:r>
      <w:r w:rsidR="00B92563" w:rsidRPr="00B92563">
        <w:rPr>
          <w:rFonts w:ascii="Times New Roman" w:hAnsi="Times New Roman" w:cs="Times New Roman"/>
          <w:i/>
          <w:sz w:val="24"/>
          <w:szCs w:val="24"/>
        </w:rPr>
        <w:t>Na pág. 4, afirma-se que diversos pesquisadores buscaram mecanismos de</w:t>
      </w:r>
      <w:r w:rsidR="00B92563">
        <w:rPr>
          <w:rFonts w:ascii="Times New Roman" w:hAnsi="Times New Roman" w:cs="Times New Roman"/>
          <w:i/>
          <w:sz w:val="24"/>
          <w:szCs w:val="24"/>
        </w:rPr>
        <w:t xml:space="preserve"> </w:t>
      </w:r>
      <w:r w:rsidR="00B92563" w:rsidRPr="00B92563">
        <w:rPr>
          <w:rFonts w:ascii="Times New Roman" w:hAnsi="Times New Roman" w:cs="Times New Roman"/>
          <w:i/>
          <w:sz w:val="24"/>
          <w:szCs w:val="24"/>
        </w:rPr>
        <w:t>identificação de ativos intangíveis. Achei que as referências para</w:t>
      </w:r>
      <w:r w:rsidR="00B92563">
        <w:rPr>
          <w:rFonts w:ascii="Times New Roman" w:hAnsi="Times New Roman" w:cs="Times New Roman"/>
          <w:i/>
          <w:sz w:val="24"/>
          <w:szCs w:val="24"/>
        </w:rPr>
        <w:t xml:space="preserve"> </w:t>
      </w:r>
      <w:r w:rsidR="00B92563" w:rsidRPr="00B92563">
        <w:rPr>
          <w:rFonts w:ascii="Times New Roman" w:hAnsi="Times New Roman" w:cs="Times New Roman"/>
          <w:i/>
          <w:sz w:val="24"/>
          <w:szCs w:val="24"/>
        </w:rPr>
        <w:t>sustentar essa observação muito antiga, tendo como parâmetro as normas</w:t>
      </w:r>
      <w:r w:rsidR="00B92563">
        <w:rPr>
          <w:rFonts w:ascii="Times New Roman" w:hAnsi="Times New Roman" w:cs="Times New Roman"/>
          <w:i/>
          <w:sz w:val="24"/>
          <w:szCs w:val="24"/>
        </w:rPr>
        <w:t xml:space="preserve"> </w:t>
      </w:r>
      <w:r w:rsidR="00B92563" w:rsidRPr="00B92563">
        <w:rPr>
          <w:rFonts w:ascii="Times New Roman" w:hAnsi="Times New Roman" w:cs="Times New Roman"/>
          <w:i/>
          <w:sz w:val="24"/>
          <w:szCs w:val="24"/>
        </w:rPr>
        <w:t>internacionais de contabilidade, ou seja, antes de as IFRS terem se tornado</w:t>
      </w:r>
      <w:r w:rsidR="00B92563">
        <w:rPr>
          <w:rFonts w:ascii="Times New Roman" w:hAnsi="Times New Roman" w:cs="Times New Roman"/>
          <w:i/>
          <w:sz w:val="24"/>
          <w:szCs w:val="24"/>
        </w:rPr>
        <w:t xml:space="preserve"> obrigatórias</w:t>
      </w:r>
      <w:r w:rsidR="006B4011" w:rsidRPr="00CB491F">
        <w:rPr>
          <w:rFonts w:ascii="Times New Roman" w:hAnsi="Times New Roman" w:cs="Times New Roman"/>
          <w:i/>
          <w:sz w:val="24"/>
          <w:szCs w:val="24"/>
        </w:rPr>
        <w:t>.</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2B7798" w:rsidRPr="00403F48" w:rsidTr="00BC0791">
        <w:trPr>
          <w:trHeight w:val="236"/>
        </w:trPr>
        <w:tc>
          <w:tcPr>
            <w:tcW w:w="9706" w:type="dxa"/>
          </w:tcPr>
          <w:p w:rsidR="002B7798" w:rsidRPr="004E18C4" w:rsidRDefault="002B7798" w:rsidP="00BC0791">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t>Comentário</w:t>
            </w:r>
          </w:p>
        </w:tc>
      </w:tr>
      <w:tr w:rsidR="002B7798" w:rsidRPr="00403F48" w:rsidTr="00BC0791">
        <w:trPr>
          <w:trHeight w:val="295"/>
        </w:trPr>
        <w:tc>
          <w:tcPr>
            <w:tcW w:w="9706" w:type="dxa"/>
          </w:tcPr>
          <w:p w:rsidR="002B7798" w:rsidRPr="00D57C99" w:rsidRDefault="00D57C99" w:rsidP="00A65F55">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As referências foram atualizadas e o texto ficou da seguinte forma</w:t>
            </w:r>
            <w:r>
              <w:rPr>
                <w:rFonts w:ascii="Times New Roman" w:hAnsi="Times New Roman" w:cs="Times New Roman"/>
                <w:sz w:val="24"/>
                <w:szCs w:val="24"/>
              </w:rPr>
              <w:t>:</w:t>
            </w:r>
            <w:r>
              <w:rPr>
                <w:rFonts w:ascii="Times New Roman" w:hAnsi="Times New Roman" w:cs="Times New Roman"/>
                <w:sz w:val="24"/>
                <w:szCs w:val="24"/>
              </w:rPr>
              <w:t xml:space="preserve"> </w:t>
            </w:r>
            <w:r w:rsidRPr="00D57C99">
              <w:rPr>
                <w:rFonts w:ascii="Times New Roman" w:hAnsi="Times New Roman"/>
                <w:i/>
                <w:sz w:val="24"/>
                <w:szCs w:val="24"/>
              </w:rPr>
              <w:t>“</w:t>
            </w:r>
            <w:r w:rsidRPr="00D57C99">
              <w:rPr>
                <w:rFonts w:ascii="Times New Roman" w:hAnsi="Times New Roman"/>
                <w:i/>
                <w:sz w:val="24"/>
                <w:szCs w:val="24"/>
              </w:rPr>
              <w:t>Entre esses mecanismos destacam-se os indicadores e as classes ou grupos para os ativos intangíveis (BASSI, 1997; BONTIS, 1998; ROOS; EDVINSSON; ROOS, 1998; O'DONNELL; O'REGAN, 2000; ANDRIKOPOULOS; KAIMENAKIS, 2006; ABREU; DIEHL; MACAGNAN, 2011; PARENTE; DE LUCA; VASCONCELOS, 2015; GALVÃO; MIRANDA, 2016; MOTA; BRANDÃO; PONTE, 2016).</w:t>
            </w:r>
            <w:r w:rsidRPr="00D57C99">
              <w:rPr>
                <w:rFonts w:ascii="Times New Roman" w:hAnsi="Times New Roman"/>
                <w:i/>
                <w:sz w:val="24"/>
                <w:szCs w:val="24"/>
              </w:rPr>
              <w:t>”</w:t>
            </w:r>
            <w:r w:rsidRPr="00D57C99">
              <w:rPr>
                <w:rFonts w:ascii="Times New Roman" w:hAnsi="Times New Roman" w:cs="Times New Roman"/>
                <w:i/>
                <w:sz w:val="24"/>
                <w:szCs w:val="24"/>
              </w:rPr>
              <w:t xml:space="preserve"> </w:t>
            </w:r>
          </w:p>
        </w:tc>
      </w:tr>
    </w:tbl>
    <w:p w:rsidR="00666F5C" w:rsidRPr="00C17DEA" w:rsidRDefault="00666F5C" w:rsidP="00666F5C">
      <w:pPr>
        <w:spacing w:after="120" w:line="240" w:lineRule="auto"/>
        <w:jc w:val="both"/>
        <w:rPr>
          <w:rFonts w:ascii="Times New Roman" w:hAnsi="Times New Roman" w:cs="Times New Roman"/>
          <w:i/>
          <w:sz w:val="6"/>
          <w:szCs w:val="6"/>
        </w:rPr>
      </w:pPr>
      <w:r w:rsidRPr="00C17DEA">
        <w:rPr>
          <w:rFonts w:ascii="Times New Roman" w:hAnsi="Times New Roman" w:cs="Times New Roman"/>
          <w:i/>
          <w:sz w:val="6"/>
          <w:szCs w:val="6"/>
        </w:rPr>
        <w:t xml:space="preserve"> </w:t>
      </w:r>
    </w:p>
    <w:p w:rsidR="00666F5C" w:rsidRPr="00656D56" w:rsidRDefault="00C17DEA" w:rsidP="00666F5C">
      <w:pPr>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6) </w:t>
      </w:r>
      <w:r w:rsidR="00666F5C" w:rsidRPr="00666F5C">
        <w:rPr>
          <w:rFonts w:ascii="Times New Roman" w:hAnsi="Times New Roman" w:cs="Times New Roman"/>
          <w:i/>
          <w:sz w:val="24"/>
          <w:szCs w:val="24"/>
        </w:rPr>
        <w:t>O que seria incipiência de evidenciação (pág 5). Acho que é melhor</w:t>
      </w:r>
      <w:r w:rsidR="00666F5C">
        <w:rPr>
          <w:rFonts w:ascii="Times New Roman" w:hAnsi="Times New Roman" w:cs="Times New Roman"/>
          <w:i/>
          <w:sz w:val="24"/>
          <w:szCs w:val="24"/>
        </w:rPr>
        <w:t xml:space="preserve"> </w:t>
      </w:r>
      <w:r w:rsidR="00666F5C" w:rsidRPr="00666F5C">
        <w:rPr>
          <w:rFonts w:ascii="Times New Roman" w:hAnsi="Times New Roman" w:cs="Times New Roman"/>
          <w:i/>
          <w:sz w:val="24"/>
          <w:szCs w:val="24"/>
        </w:rPr>
        <w:t>referenciar como baixa evidenciação.</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C17DEA" w:rsidRPr="00403F48" w:rsidTr="00BC0791">
        <w:trPr>
          <w:trHeight w:val="236"/>
        </w:trPr>
        <w:tc>
          <w:tcPr>
            <w:tcW w:w="9706" w:type="dxa"/>
          </w:tcPr>
          <w:p w:rsidR="00C17DEA" w:rsidRPr="004E18C4" w:rsidRDefault="00C17DEA" w:rsidP="00BC0791">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t>Comentário</w:t>
            </w:r>
          </w:p>
        </w:tc>
      </w:tr>
      <w:tr w:rsidR="00C17DEA" w:rsidRPr="00403F48" w:rsidTr="00BC0791">
        <w:trPr>
          <w:trHeight w:val="295"/>
        </w:trPr>
        <w:tc>
          <w:tcPr>
            <w:tcW w:w="9706" w:type="dxa"/>
          </w:tcPr>
          <w:p w:rsidR="00C17DEA" w:rsidRPr="004E18C4" w:rsidRDefault="005E1FCE" w:rsidP="005E1FCE">
            <w:pPr>
              <w:spacing w:after="0" w:line="240" w:lineRule="auto"/>
              <w:jc w:val="both"/>
              <w:rPr>
                <w:rFonts w:ascii="Times New Roman" w:hAnsi="Times New Roman" w:cs="Times New Roman"/>
                <w:sz w:val="24"/>
                <w:szCs w:val="24"/>
              </w:rPr>
            </w:pPr>
            <w:r w:rsidRPr="00403F48">
              <w:rPr>
                <w:rFonts w:ascii="Times New Roman" w:hAnsi="Times New Roman" w:cs="Times New Roman"/>
                <w:sz w:val="24"/>
                <w:szCs w:val="24"/>
              </w:rPr>
              <w:t>O</w:t>
            </w:r>
            <w:r>
              <w:rPr>
                <w:rFonts w:ascii="Times New Roman" w:hAnsi="Times New Roman" w:cs="Times New Roman"/>
                <w:sz w:val="24"/>
                <w:szCs w:val="24"/>
              </w:rPr>
              <w:t xml:space="preserve"> ajuste foi realizado no texto.</w:t>
            </w:r>
          </w:p>
        </w:tc>
      </w:tr>
    </w:tbl>
    <w:p w:rsidR="008F405F" w:rsidRDefault="008F405F" w:rsidP="008F405F">
      <w:pPr>
        <w:spacing w:after="0" w:line="240" w:lineRule="auto"/>
        <w:ind w:left="720"/>
        <w:jc w:val="both"/>
        <w:rPr>
          <w:rFonts w:ascii="Times New Roman" w:hAnsi="Times New Roman" w:cs="Times New Roman"/>
          <w:sz w:val="24"/>
          <w:szCs w:val="24"/>
        </w:rPr>
      </w:pPr>
    </w:p>
    <w:p w:rsidR="008F405F" w:rsidRPr="00656D56" w:rsidRDefault="00E07775" w:rsidP="008F405F">
      <w:pPr>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7) </w:t>
      </w:r>
      <w:r w:rsidR="008F405F" w:rsidRPr="008F405F">
        <w:rPr>
          <w:rFonts w:ascii="Times New Roman" w:hAnsi="Times New Roman" w:cs="Times New Roman"/>
          <w:i/>
          <w:sz w:val="24"/>
          <w:szCs w:val="24"/>
        </w:rPr>
        <w:t>É apresentada uma hipótese de que existe diferenças entre as</w:t>
      </w:r>
      <w:r w:rsidR="008F405F">
        <w:rPr>
          <w:rFonts w:ascii="Times New Roman" w:hAnsi="Times New Roman" w:cs="Times New Roman"/>
          <w:i/>
          <w:sz w:val="24"/>
          <w:szCs w:val="24"/>
        </w:rPr>
        <w:t xml:space="preserve"> </w:t>
      </w:r>
      <w:r w:rsidR="008F405F" w:rsidRPr="008F405F">
        <w:rPr>
          <w:rFonts w:ascii="Times New Roman" w:hAnsi="Times New Roman" w:cs="Times New Roman"/>
          <w:i/>
          <w:sz w:val="24"/>
          <w:szCs w:val="24"/>
        </w:rPr>
        <w:t>divulgações de entidades brasileiras e europeias. No entanto, em nenhum</w:t>
      </w:r>
      <w:r w:rsidR="008F405F">
        <w:rPr>
          <w:rFonts w:ascii="Times New Roman" w:hAnsi="Times New Roman" w:cs="Times New Roman"/>
          <w:i/>
          <w:sz w:val="24"/>
          <w:szCs w:val="24"/>
        </w:rPr>
        <w:t xml:space="preserve"> </w:t>
      </w:r>
      <w:r w:rsidR="008F405F" w:rsidRPr="008F405F">
        <w:rPr>
          <w:rFonts w:ascii="Times New Roman" w:hAnsi="Times New Roman" w:cs="Times New Roman"/>
          <w:i/>
          <w:sz w:val="24"/>
          <w:szCs w:val="24"/>
        </w:rPr>
        <w:t>momento é feito uma discussão prévia que pudesse dá sustentação a</w:t>
      </w:r>
      <w:r w:rsidR="008F405F">
        <w:rPr>
          <w:rFonts w:ascii="Times New Roman" w:hAnsi="Times New Roman" w:cs="Times New Roman"/>
          <w:i/>
          <w:sz w:val="24"/>
          <w:szCs w:val="24"/>
        </w:rPr>
        <w:t xml:space="preserve"> </w:t>
      </w:r>
      <w:r w:rsidR="008F405F" w:rsidRPr="008F405F">
        <w:rPr>
          <w:rFonts w:ascii="Times New Roman" w:hAnsi="Times New Roman" w:cs="Times New Roman"/>
          <w:i/>
          <w:sz w:val="24"/>
          <w:szCs w:val="24"/>
        </w:rPr>
        <w:t>hipótese formulada. Por que seria diferente? Deveria ser diferente? Quais</w:t>
      </w:r>
      <w:r w:rsidR="008F405F">
        <w:rPr>
          <w:rFonts w:ascii="Times New Roman" w:hAnsi="Times New Roman" w:cs="Times New Roman"/>
          <w:i/>
          <w:sz w:val="24"/>
          <w:szCs w:val="24"/>
        </w:rPr>
        <w:t xml:space="preserve"> </w:t>
      </w:r>
      <w:r w:rsidR="008F405F" w:rsidRPr="008F405F">
        <w:rPr>
          <w:rFonts w:ascii="Times New Roman" w:hAnsi="Times New Roman" w:cs="Times New Roman"/>
          <w:i/>
          <w:sz w:val="24"/>
          <w:szCs w:val="24"/>
        </w:rPr>
        <w:t>os incentivos existentes que possam levar a uma diferenciação. Isso</w:t>
      </w:r>
      <w:r w:rsidR="008F405F">
        <w:rPr>
          <w:rFonts w:ascii="Times New Roman" w:hAnsi="Times New Roman" w:cs="Times New Roman"/>
          <w:i/>
          <w:sz w:val="24"/>
          <w:szCs w:val="24"/>
        </w:rPr>
        <w:t xml:space="preserve"> </w:t>
      </w:r>
      <w:r w:rsidR="008F405F" w:rsidRPr="008F405F">
        <w:rPr>
          <w:rFonts w:ascii="Times New Roman" w:hAnsi="Times New Roman" w:cs="Times New Roman"/>
          <w:i/>
          <w:sz w:val="24"/>
          <w:szCs w:val="24"/>
        </w:rPr>
        <w:t>demonstra, como já relatado, como é frágil a base teórica do trabalho.</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957470" w:rsidRPr="00403F48" w:rsidTr="00BC0791">
        <w:trPr>
          <w:trHeight w:val="236"/>
        </w:trPr>
        <w:tc>
          <w:tcPr>
            <w:tcW w:w="9706" w:type="dxa"/>
          </w:tcPr>
          <w:p w:rsidR="00957470" w:rsidRPr="004E18C4" w:rsidRDefault="00957470" w:rsidP="00BC0791">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t>Comentário</w:t>
            </w:r>
          </w:p>
        </w:tc>
      </w:tr>
      <w:tr w:rsidR="00957470" w:rsidRPr="00403F48" w:rsidTr="00BC0791">
        <w:trPr>
          <w:trHeight w:val="295"/>
        </w:trPr>
        <w:tc>
          <w:tcPr>
            <w:tcW w:w="9706" w:type="dxa"/>
          </w:tcPr>
          <w:p w:rsidR="00957470" w:rsidRPr="00957470" w:rsidRDefault="00957470" w:rsidP="00AB0A09">
            <w:pPr>
              <w:tabs>
                <w:tab w:val="left" w:pos="1418"/>
              </w:tabs>
              <w:spacing w:after="0" w:line="240" w:lineRule="auto"/>
              <w:jc w:val="both"/>
              <w:rPr>
                <w:rFonts w:ascii="Times New Roman" w:hAnsi="Times New Roman" w:cs="Times New Roman"/>
                <w:sz w:val="24"/>
                <w:szCs w:val="24"/>
              </w:rPr>
            </w:pPr>
            <w:r w:rsidRPr="00403F48">
              <w:rPr>
                <w:rFonts w:ascii="Times New Roman" w:hAnsi="Times New Roman" w:cs="Times New Roman"/>
                <w:sz w:val="24"/>
                <w:szCs w:val="24"/>
              </w:rPr>
              <w:t>O</w:t>
            </w:r>
            <w:r>
              <w:rPr>
                <w:rFonts w:ascii="Times New Roman" w:hAnsi="Times New Roman" w:cs="Times New Roman"/>
                <w:sz w:val="24"/>
                <w:szCs w:val="24"/>
              </w:rPr>
              <w:t xml:space="preserve"> ajuste foi realizado no texto</w:t>
            </w:r>
            <w:r w:rsidR="00185B20">
              <w:rPr>
                <w:rFonts w:ascii="Times New Roman" w:hAnsi="Times New Roman" w:cs="Times New Roman"/>
                <w:sz w:val="24"/>
                <w:szCs w:val="24"/>
              </w:rPr>
              <w:t xml:space="preserve"> com a inclusão do seguinte </w:t>
            </w:r>
            <w:r>
              <w:rPr>
                <w:rFonts w:ascii="Times New Roman" w:hAnsi="Times New Roman" w:cs="Times New Roman"/>
                <w:sz w:val="24"/>
                <w:szCs w:val="24"/>
              </w:rPr>
              <w:t>parágrafo</w:t>
            </w:r>
            <w:r w:rsidR="00185B20">
              <w:rPr>
                <w:rFonts w:ascii="Times New Roman" w:hAnsi="Times New Roman" w:cs="Times New Roman"/>
                <w:sz w:val="24"/>
                <w:szCs w:val="24"/>
              </w:rPr>
              <w:t xml:space="preserve"> antes da hipótese do estudo</w:t>
            </w:r>
            <w:r>
              <w:rPr>
                <w:rFonts w:ascii="Times New Roman" w:hAnsi="Times New Roman" w:cs="Times New Roman"/>
                <w:sz w:val="24"/>
                <w:szCs w:val="24"/>
              </w:rPr>
              <w:t>: “</w:t>
            </w:r>
            <w:r w:rsidR="002A60CB" w:rsidRPr="002A60CB">
              <w:rPr>
                <w:rFonts w:ascii="Times New Roman" w:hAnsi="Times New Roman"/>
                <w:i/>
                <w:sz w:val="24"/>
                <w:szCs w:val="24"/>
              </w:rPr>
              <w:t>Do exposto, pressupõe-se que os clubes europeus implementam práticas de evidenciação contábil (disclosure) mais consolidadas e há mais tempo, em razão da normatização mais remota, mesmo que não específica ao ativo intangível, bem como em virtude da forma jurídica predominante em que são constituídas, enquanto os clubes brasileiros somente passaram a ser obrigados a apresentar as demonstrações financeiras há pouco mais de 13 anos, a partir da publicação da Lei nº 10.672/2003. Cabe salientar que grande parte dos clubes de futebol europeus é constituída na forma de sociedade anônima, com ações listadas no mercado de valores, cumprindo mais exigências fiscais e, principalmente, dos investidores e demais stakeholders. Enquanto no Brasil, ainda é recente a tentativa de moralização do futebol, bem como a transformação das entidades desportivas de entidades sem fins lucrativos para “clubes-empresas”.</w:t>
            </w:r>
            <w:r w:rsidR="002A60CB">
              <w:rPr>
                <w:rFonts w:ascii="Times New Roman" w:hAnsi="Times New Roman"/>
                <w:i/>
                <w:sz w:val="24"/>
                <w:szCs w:val="24"/>
              </w:rPr>
              <w:t xml:space="preserve"> </w:t>
            </w:r>
            <w:r w:rsidR="002A60CB" w:rsidRPr="002A60CB">
              <w:rPr>
                <w:rFonts w:ascii="Times New Roman" w:hAnsi="Times New Roman"/>
                <w:i/>
                <w:sz w:val="24"/>
                <w:szCs w:val="24"/>
              </w:rPr>
              <w:t>Diante das diferenças identificadas nas normas internacionais e nacionais referentes à elaboração das demonstrações financeiras dos clubes de futebol e com base nos argumentos oferecidos na literatura sobre a baixa evidenciação contábil  dos ativos intangíveis pelas entidades desportivas (BURSESI; CARRATALÁ, 2003; BASTOS; PEREIRA; TOSTES, 2007; ROLIM, 2009; SILVA; CARVALHO, 2009; REZENDE; DALMÁCIO; SALGADO, 2010; GÜREL; EKMEKCI, 2011; HOLANDA et al., 2012; REZENDE; CUSTÓDIO, 2012; MAIA; CARDOSO; PONTE, 2013; OLIVEIRA JUNIOR et al., 2015), o presente estudo levanta a seguinte hipótese (</w:t>
            </w:r>
            <w:r w:rsidR="002A60CB" w:rsidRPr="002A60CB">
              <w:rPr>
                <w:rFonts w:ascii="Times New Roman" w:hAnsi="Times New Roman"/>
                <w:bCs/>
                <w:i/>
                <w:sz w:val="24"/>
                <w:szCs w:val="24"/>
              </w:rPr>
              <w:object w:dxaOrig="3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7pt" o:ole="">
                  <v:imagedata r:id="rId7" o:title=""/>
                </v:shape>
                <o:OLEObject Type="Embed" ProgID="Equation.3" ShapeID="_x0000_i1025" DrawAspect="Content" ObjectID="_1533758218" r:id="rId8"/>
              </w:object>
            </w:r>
            <w:r w:rsidR="002A60CB" w:rsidRPr="002A60CB">
              <w:rPr>
                <w:rFonts w:ascii="Times New Roman" w:hAnsi="Times New Roman"/>
                <w:i/>
                <w:sz w:val="24"/>
                <w:szCs w:val="24"/>
              </w:rPr>
              <w:t>): O perfil dos ativos intangíveis dos clubes de futebol brasileiros não é semelhante ao dos clubes europeus.</w:t>
            </w:r>
            <w:r w:rsidR="002A60CB">
              <w:rPr>
                <w:rFonts w:ascii="Times New Roman" w:hAnsi="Times New Roman"/>
                <w:i/>
                <w:sz w:val="24"/>
                <w:szCs w:val="24"/>
              </w:rPr>
              <w:t>”</w:t>
            </w:r>
          </w:p>
        </w:tc>
      </w:tr>
    </w:tbl>
    <w:p w:rsidR="008F405F" w:rsidRPr="00AB0A09" w:rsidRDefault="008F405F" w:rsidP="008F405F">
      <w:pPr>
        <w:spacing w:after="0" w:line="240" w:lineRule="auto"/>
        <w:ind w:left="720"/>
        <w:jc w:val="both"/>
        <w:rPr>
          <w:rFonts w:ascii="Times New Roman" w:hAnsi="Times New Roman" w:cs="Times New Roman"/>
          <w:sz w:val="12"/>
          <w:szCs w:val="12"/>
        </w:rPr>
      </w:pPr>
    </w:p>
    <w:p w:rsidR="008F405F" w:rsidRPr="002A60CB" w:rsidRDefault="008C3682" w:rsidP="008F405F">
      <w:pPr>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8) </w:t>
      </w:r>
      <w:r w:rsidR="008F405F" w:rsidRPr="008F405F">
        <w:rPr>
          <w:rFonts w:ascii="Times New Roman" w:hAnsi="Times New Roman" w:cs="Times New Roman"/>
          <w:i/>
          <w:sz w:val="24"/>
          <w:szCs w:val="24"/>
        </w:rPr>
        <w:t xml:space="preserve">O item 2.2 é meramente informativo, </w:t>
      </w:r>
      <w:r w:rsidR="008F405F" w:rsidRPr="002A60CB">
        <w:rPr>
          <w:rFonts w:ascii="Times New Roman" w:hAnsi="Times New Roman" w:cs="Times New Roman"/>
          <w:i/>
          <w:sz w:val="24"/>
          <w:szCs w:val="24"/>
        </w:rPr>
        <w:t>poderia ficar resumido em um quadro.</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2A60CB" w:rsidRPr="002A60CB" w:rsidTr="00BC0791">
        <w:trPr>
          <w:trHeight w:val="236"/>
        </w:trPr>
        <w:tc>
          <w:tcPr>
            <w:tcW w:w="9706" w:type="dxa"/>
          </w:tcPr>
          <w:p w:rsidR="002A60CB" w:rsidRPr="002A60CB" w:rsidRDefault="002A60CB" w:rsidP="00BC0791">
            <w:pPr>
              <w:spacing w:after="120" w:line="240" w:lineRule="auto"/>
              <w:jc w:val="center"/>
              <w:rPr>
                <w:rFonts w:ascii="Times New Roman" w:hAnsi="Times New Roman" w:cs="Times New Roman"/>
                <w:b/>
                <w:sz w:val="24"/>
                <w:szCs w:val="24"/>
              </w:rPr>
            </w:pPr>
            <w:r w:rsidRPr="002A60CB">
              <w:rPr>
                <w:rFonts w:ascii="Times New Roman" w:hAnsi="Times New Roman" w:cs="Times New Roman"/>
                <w:b/>
                <w:sz w:val="24"/>
                <w:szCs w:val="24"/>
              </w:rPr>
              <w:t>Comentário</w:t>
            </w:r>
          </w:p>
        </w:tc>
      </w:tr>
      <w:tr w:rsidR="002A60CB" w:rsidRPr="00403F48" w:rsidTr="00BC0791">
        <w:trPr>
          <w:trHeight w:val="295"/>
        </w:trPr>
        <w:tc>
          <w:tcPr>
            <w:tcW w:w="9706" w:type="dxa"/>
          </w:tcPr>
          <w:p w:rsidR="002A60CB" w:rsidRPr="004E18C4" w:rsidRDefault="004F1E49" w:rsidP="004F1E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002A60CB" w:rsidRPr="002A60CB">
              <w:rPr>
                <w:rFonts w:ascii="Times New Roman" w:hAnsi="Times New Roman" w:cs="Times New Roman"/>
                <w:sz w:val="24"/>
                <w:szCs w:val="24"/>
              </w:rPr>
              <w:t>autor</w:t>
            </w:r>
            <w:r>
              <w:rPr>
                <w:rFonts w:ascii="Times New Roman" w:hAnsi="Times New Roman" w:cs="Times New Roman"/>
                <w:sz w:val="24"/>
                <w:szCs w:val="24"/>
              </w:rPr>
              <w:t>a</w:t>
            </w:r>
            <w:r w:rsidR="002A60CB" w:rsidRPr="002A60CB">
              <w:rPr>
                <w:rFonts w:ascii="Times New Roman" w:hAnsi="Times New Roman" w:cs="Times New Roman"/>
                <w:sz w:val="24"/>
                <w:szCs w:val="24"/>
              </w:rPr>
              <w:t>s acreditam ser imprescindível este ponto da fundamentação teórica para a compreensão da hipótese do estudo</w:t>
            </w:r>
            <w:r w:rsidR="002A60CB" w:rsidRPr="002A60CB">
              <w:rPr>
                <w:rFonts w:ascii="Times New Roman" w:hAnsi="Times New Roman" w:cs="Times New Roman"/>
                <w:sz w:val="24"/>
                <w:szCs w:val="24"/>
              </w:rPr>
              <w:t>. Dessa forma, após aperfeiçoamento da redação do texto, a hipótese foi  conduzida para o final do item 2.2</w:t>
            </w:r>
            <w:r w:rsidR="002A60CB" w:rsidRPr="002A60CB">
              <w:rPr>
                <w:rFonts w:ascii="Times New Roman" w:hAnsi="Times New Roman" w:cs="Times New Roman"/>
                <w:sz w:val="24"/>
                <w:szCs w:val="24"/>
              </w:rPr>
              <w:t>.</w:t>
            </w:r>
          </w:p>
        </w:tc>
      </w:tr>
    </w:tbl>
    <w:p w:rsidR="002A60CB" w:rsidRPr="00AB0A09" w:rsidRDefault="002A60CB" w:rsidP="008F405F">
      <w:pPr>
        <w:spacing w:after="120" w:line="240" w:lineRule="auto"/>
        <w:jc w:val="both"/>
        <w:rPr>
          <w:rFonts w:ascii="Times New Roman" w:hAnsi="Times New Roman" w:cs="Times New Roman"/>
          <w:color w:val="2A2A2A"/>
          <w:sz w:val="12"/>
          <w:szCs w:val="12"/>
        </w:rPr>
      </w:pPr>
    </w:p>
    <w:p w:rsidR="002D356E" w:rsidRDefault="00AB0A09" w:rsidP="00425C2E">
      <w:pPr>
        <w:spacing w:after="60" w:line="240" w:lineRule="auto"/>
        <w:jc w:val="both"/>
        <w:rPr>
          <w:rFonts w:ascii="Times New Roman" w:hAnsi="Times New Roman" w:cs="Times New Roman"/>
          <w:i/>
          <w:color w:val="2A2A2A"/>
          <w:sz w:val="24"/>
          <w:szCs w:val="24"/>
        </w:rPr>
      </w:pPr>
      <w:r>
        <w:rPr>
          <w:rFonts w:ascii="Times New Roman" w:hAnsi="Times New Roman" w:cs="Times New Roman"/>
          <w:i/>
          <w:color w:val="2A2A2A"/>
          <w:sz w:val="24"/>
          <w:szCs w:val="24"/>
        </w:rPr>
        <w:t xml:space="preserve">9) </w:t>
      </w:r>
      <w:r w:rsidR="008F405F" w:rsidRPr="008F405F">
        <w:rPr>
          <w:rFonts w:ascii="Times New Roman" w:hAnsi="Times New Roman" w:cs="Times New Roman"/>
          <w:i/>
          <w:color w:val="2A2A2A"/>
          <w:sz w:val="24"/>
          <w:szCs w:val="24"/>
        </w:rPr>
        <w:t>Quanto a metodologia, me parece em grande parte adequada, mas não existe</w:t>
      </w:r>
      <w:r w:rsidR="008F405F">
        <w:rPr>
          <w:rFonts w:ascii="Times New Roman" w:hAnsi="Times New Roman" w:cs="Times New Roman"/>
          <w:i/>
          <w:color w:val="2A2A2A"/>
          <w:sz w:val="24"/>
          <w:szCs w:val="24"/>
        </w:rPr>
        <w:t xml:space="preserve"> </w:t>
      </w:r>
      <w:r w:rsidR="008F405F" w:rsidRPr="008F405F">
        <w:rPr>
          <w:rFonts w:ascii="Times New Roman" w:hAnsi="Times New Roman" w:cs="Times New Roman"/>
          <w:i/>
          <w:color w:val="2A2A2A"/>
          <w:sz w:val="24"/>
          <w:szCs w:val="24"/>
        </w:rPr>
        <w:t>uma justificativa plausível para se adotar apenas o ano de 2011.</w:t>
      </w:r>
      <w:r w:rsidR="008F405F">
        <w:rPr>
          <w:rFonts w:ascii="Times New Roman" w:hAnsi="Times New Roman" w:cs="Times New Roman"/>
          <w:i/>
          <w:color w:val="2A2A2A"/>
          <w:sz w:val="24"/>
          <w:szCs w:val="24"/>
        </w:rPr>
        <w:t xml:space="preserve"> </w:t>
      </w:r>
    </w:p>
    <w:p w:rsidR="002D356E" w:rsidRDefault="00EA6C06" w:rsidP="00425C2E">
      <w:pPr>
        <w:spacing w:after="60" w:line="240" w:lineRule="auto"/>
        <w:jc w:val="both"/>
        <w:rPr>
          <w:rFonts w:ascii="Times New Roman" w:hAnsi="Times New Roman" w:cs="Times New Roman"/>
          <w:i/>
          <w:color w:val="2A2A2A"/>
          <w:sz w:val="24"/>
          <w:szCs w:val="24"/>
        </w:rPr>
      </w:pPr>
      <w:r w:rsidRPr="008F405F">
        <w:rPr>
          <w:rFonts w:ascii="Times New Roman" w:hAnsi="Times New Roman" w:cs="Times New Roman"/>
          <w:i/>
          <w:color w:val="2A2A2A"/>
          <w:sz w:val="24"/>
          <w:szCs w:val="24"/>
        </w:rPr>
        <w:t>Da mesma forma, falta uma melhor definição do que se busca provar em</w:t>
      </w:r>
      <w:r>
        <w:rPr>
          <w:rFonts w:ascii="Times New Roman" w:hAnsi="Times New Roman" w:cs="Times New Roman"/>
          <w:i/>
          <w:color w:val="2A2A2A"/>
          <w:sz w:val="24"/>
          <w:szCs w:val="24"/>
        </w:rPr>
        <w:t xml:space="preserve"> </w:t>
      </w:r>
      <w:r w:rsidRPr="008F405F">
        <w:rPr>
          <w:rFonts w:ascii="Times New Roman" w:hAnsi="Times New Roman" w:cs="Times New Roman"/>
          <w:i/>
          <w:color w:val="2A2A2A"/>
          <w:sz w:val="24"/>
          <w:szCs w:val="24"/>
        </w:rPr>
        <w:t xml:space="preserve">relação aos indicadores AIG e RAI. </w:t>
      </w:r>
    </w:p>
    <w:p w:rsidR="000A4669" w:rsidRDefault="000A4669" w:rsidP="000A4669">
      <w:pPr>
        <w:spacing w:after="120" w:line="240" w:lineRule="auto"/>
        <w:jc w:val="both"/>
        <w:rPr>
          <w:rFonts w:ascii="Times New Roman" w:hAnsi="Times New Roman" w:cs="Times New Roman"/>
          <w:i/>
          <w:color w:val="2A2A2A"/>
          <w:sz w:val="24"/>
          <w:szCs w:val="24"/>
        </w:rPr>
      </w:pPr>
      <w:r w:rsidRPr="008F405F">
        <w:rPr>
          <w:rFonts w:ascii="Times New Roman" w:hAnsi="Times New Roman" w:cs="Times New Roman"/>
          <w:i/>
          <w:color w:val="2A2A2A"/>
          <w:sz w:val="24"/>
          <w:szCs w:val="24"/>
        </w:rPr>
        <w:t>A descrição das entidades da amostra</w:t>
      </w:r>
      <w:r>
        <w:rPr>
          <w:rFonts w:ascii="Times New Roman" w:hAnsi="Times New Roman" w:cs="Times New Roman"/>
          <w:i/>
          <w:color w:val="2A2A2A"/>
          <w:sz w:val="24"/>
          <w:szCs w:val="24"/>
        </w:rPr>
        <w:t xml:space="preserve"> </w:t>
      </w:r>
      <w:r w:rsidRPr="008F405F">
        <w:rPr>
          <w:rFonts w:ascii="Times New Roman" w:hAnsi="Times New Roman" w:cs="Times New Roman"/>
          <w:i/>
          <w:color w:val="2A2A2A"/>
          <w:sz w:val="24"/>
          <w:szCs w:val="24"/>
        </w:rPr>
        <w:t>poderia ficar em um quadro.</w:t>
      </w:r>
      <w:r>
        <w:rPr>
          <w:rFonts w:ascii="Times New Roman" w:hAnsi="Times New Roman" w:cs="Times New Roman"/>
          <w:i/>
          <w:color w:val="2A2A2A"/>
          <w:sz w:val="24"/>
          <w:szCs w:val="24"/>
        </w:rPr>
        <w:t xml:space="preserve"> </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0A4669" w:rsidRPr="002A60CB" w:rsidTr="00BC0791">
        <w:trPr>
          <w:trHeight w:val="236"/>
        </w:trPr>
        <w:tc>
          <w:tcPr>
            <w:tcW w:w="9706" w:type="dxa"/>
          </w:tcPr>
          <w:p w:rsidR="000A4669" w:rsidRPr="002A60CB" w:rsidRDefault="000A4669" w:rsidP="00BC0791">
            <w:pPr>
              <w:spacing w:after="120" w:line="240" w:lineRule="auto"/>
              <w:jc w:val="center"/>
              <w:rPr>
                <w:rFonts w:ascii="Times New Roman" w:hAnsi="Times New Roman" w:cs="Times New Roman"/>
                <w:b/>
                <w:sz w:val="24"/>
                <w:szCs w:val="24"/>
              </w:rPr>
            </w:pPr>
            <w:r w:rsidRPr="002A60CB">
              <w:rPr>
                <w:rFonts w:ascii="Times New Roman" w:hAnsi="Times New Roman" w:cs="Times New Roman"/>
                <w:b/>
                <w:sz w:val="24"/>
                <w:szCs w:val="24"/>
              </w:rPr>
              <w:t>Comentário</w:t>
            </w:r>
          </w:p>
        </w:tc>
      </w:tr>
      <w:tr w:rsidR="000A4669" w:rsidRPr="00403F48" w:rsidTr="00BC0791">
        <w:trPr>
          <w:trHeight w:val="295"/>
        </w:trPr>
        <w:tc>
          <w:tcPr>
            <w:tcW w:w="9706" w:type="dxa"/>
          </w:tcPr>
          <w:p w:rsidR="000A4669" w:rsidRPr="00412B4C" w:rsidRDefault="005924AF" w:rsidP="002D356E">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w:t>
            </w:r>
            <w:r w:rsidR="00AE267A">
              <w:rPr>
                <w:rFonts w:ascii="Times New Roman" w:hAnsi="Times New Roman" w:cs="Times New Roman"/>
                <w:sz w:val="24"/>
                <w:szCs w:val="24"/>
              </w:rPr>
              <w:t xml:space="preserve">2º </w:t>
            </w:r>
            <w:r>
              <w:rPr>
                <w:rFonts w:ascii="Times New Roman" w:hAnsi="Times New Roman" w:cs="Times New Roman"/>
                <w:sz w:val="24"/>
                <w:szCs w:val="24"/>
              </w:rPr>
              <w:t>parágrafo da me</w:t>
            </w:r>
            <w:r w:rsidR="00586A95">
              <w:rPr>
                <w:rFonts w:ascii="Times New Roman" w:hAnsi="Times New Roman" w:cs="Times New Roman"/>
                <w:sz w:val="24"/>
                <w:szCs w:val="24"/>
              </w:rPr>
              <w:t>todologia a</w:t>
            </w:r>
            <w:r>
              <w:rPr>
                <w:rFonts w:ascii="Times New Roman" w:hAnsi="Times New Roman" w:cs="Times New Roman"/>
                <w:sz w:val="24"/>
                <w:szCs w:val="24"/>
              </w:rPr>
              <w:t>s autor</w:t>
            </w:r>
            <w:r w:rsidR="00586A95">
              <w:rPr>
                <w:rFonts w:ascii="Times New Roman" w:hAnsi="Times New Roman" w:cs="Times New Roman"/>
                <w:sz w:val="24"/>
                <w:szCs w:val="24"/>
              </w:rPr>
              <w:t>a</w:t>
            </w:r>
            <w:bookmarkStart w:id="0" w:name="_GoBack"/>
            <w:bookmarkEnd w:id="0"/>
            <w:r>
              <w:rPr>
                <w:rFonts w:ascii="Times New Roman" w:hAnsi="Times New Roman" w:cs="Times New Roman"/>
                <w:sz w:val="24"/>
                <w:szCs w:val="24"/>
              </w:rPr>
              <w:t xml:space="preserve">s mencionam que: </w:t>
            </w:r>
            <w:r w:rsidRPr="005924AF">
              <w:rPr>
                <w:rFonts w:ascii="Times New Roman" w:hAnsi="Times New Roman" w:cs="Times New Roman"/>
                <w:i/>
                <w:sz w:val="24"/>
                <w:szCs w:val="24"/>
              </w:rPr>
              <w:t xml:space="preserve">“[...] </w:t>
            </w:r>
            <w:r w:rsidRPr="005924AF">
              <w:rPr>
                <w:rFonts w:ascii="Times New Roman" w:hAnsi="Times New Roman"/>
                <w:i/>
                <w:sz w:val="24"/>
                <w:szCs w:val="24"/>
              </w:rPr>
              <w:t xml:space="preserve">A escolha desse exercício financeiro deu-se, essencialmente, por dois motivos. Primeiramente, por se tratar do exercício ou temporada mais recente em que os clubes publicaram suas demonstrações – no </w:t>
            </w:r>
            <w:r w:rsidRPr="005924AF">
              <w:rPr>
                <w:rFonts w:ascii="Times New Roman" w:hAnsi="Times New Roman"/>
                <w:i/>
                <w:sz w:val="24"/>
                <w:szCs w:val="24"/>
              </w:rPr>
              <w:lastRenderedPageBreak/>
              <w:t xml:space="preserve">Brasil, por exemplo, os clubes têm até o dia 31 de março do exercício subsequente para publicar as </w:t>
            </w:r>
            <w:r w:rsidRPr="00425C2E">
              <w:rPr>
                <w:rFonts w:ascii="Times New Roman" w:hAnsi="Times New Roman"/>
                <w:i/>
                <w:sz w:val="24"/>
                <w:szCs w:val="24"/>
              </w:rPr>
              <w:t>demonstrações financeiras anuais. Em segundo lugar, por ser o ano correspondente ao Ranking Mundial de Clubes da IFFHS de 2012</w:t>
            </w:r>
            <w:r w:rsidRPr="00425C2E">
              <w:rPr>
                <w:rFonts w:ascii="Times New Roman" w:hAnsi="Times New Roman"/>
                <w:i/>
                <w:sz w:val="24"/>
                <w:szCs w:val="24"/>
              </w:rPr>
              <w:t xml:space="preserve"> (utilizado como referência para a população pesquisada)</w:t>
            </w:r>
            <w:r w:rsidRPr="00425C2E">
              <w:rPr>
                <w:rFonts w:ascii="Times New Roman" w:hAnsi="Times New Roman"/>
                <w:i/>
                <w:sz w:val="24"/>
                <w:szCs w:val="24"/>
              </w:rPr>
              <w:t>.</w:t>
            </w:r>
            <w:r w:rsidRPr="00425C2E">
              <w:rPr>
                <w:rFonts w:ascii="Times New Roman" w:hAnsi="Times New Roman"/>
                <w:i/>
                <w:sz w:val="24"/>
                <w:szCs w:val="24"/>
              </w:rPr>
              <w:t xml:space="preserve"> [...]”.</w:t>
            </w:r>
            <w:r w:rsidRPr="00425C2E">
              <w:rPr>
                <w:rFonts w:ascii="Times New Roman" w:hAnsi="Times New Roman"/>
                <w:sz w:val="24"/>
                <w:szCs w:val="24"/>
              </w:rPr>
              <w:t xml:space="preserve"> De qualquer forma, foi </w:t>
            </w:r>
            <w:r w:rsidR="002D356E" w:rsidRPr="00425C2E">
              <w:rPr>
                <w:rFonts w:ascii="Times New Roman" w:hAnsi="Times New Roman"/>
                <w:sz w:val="24"/>
                <w:szCs w:val="24"/>
              </w:rPr>
              <w:t>destacado no texto que o fato refere-se à principal limitação do estudo.</w:t>
            </w:r>
          </w:p>
          <w:p w:rsidR="00412B4C" w:rsidRPr="00412B4C" w:rsidRDefault="000A4669" w:rsidP="00412B4C">
            <w:pPr>
              <w:numPr>
                <w:ilvl w:val="0"/>
                <w:numId w:val="2"/>
              </w:numPr>
              <w:spacing w:after="0" w:line="240" w:lineRule="auto"/>
              <w:jc w:val="both"/>
              <w:rPr>
                <w:rFonts w:ascii="Times New Roman" w:hAnsi="Times New Roman" w:cs="Times New Roman"/>
                <w:sz w:val="24"/>
                <w:szCs w:val="24"/>
              </w:rPr>
            </w:pPr>
            <w:r w:rsidRPr="00412B4C">
              <w:rPr>
                <w:rFonts w:ascii="Times New Roman" w:hAnsi="Times New Roman" w:cs="Times New Roman"/>
                <w:sz w:val="24"/>
                <w:szCs w:val="24"/>
              </w:rPr>
              <w:t xml:space="preserve">Foi incluído no fim do </w:t>
            </w:r>
            <w:r w:rsidR="00AE267A">
              <w:rPr>
                <w:rFonts w:ascii="Times New Roman" w:hAnsi="Times New Roman" w:cs="Times New Roman"/>
                <w:sz w:val="24"/>
                <w:szCs w:val="24"/>
              </w:rPr>
              <w:t>2</w:t>
            </w:r>
            <w:r w:rsidRPr="00412B4C">
              <w:rPr>
                <w:rFonts w:ascii="Times New Roman" w:hAnsi="Times New Roman" w:cs="Times New Roman"/>
                <w:sz w:val="24"/>
                <w:szCs w:val="24"/>
              </w:rPr>
              <w:t xml:space="preserve">º parágrafo da </w:t>
            </w:r>
            <w:r w:rsidR="00AE267A">
              <w:rPr>
                <w:rFonts w:ascii="Times New Roman" w:hAnsi="Times New Roman" w:cs="Times New Roman"/>
                <w:sz w:val="24"/>
                <w:szCs w:val="24"/>
              </w:rPr>
              <w:t>m</w:t>
            </w:r>
            <w:r w:rsidRPr="00412B4C">
              <w:rPr>
                <w:rFonts w:ascii="Times New Roman" w:hAnsi="Times New Roman" w:cs="Times New Roman"/>
                <w:sz w:val="24"/>
                <w:szCs w:val="24"/>
              </w:rPr>
              <w:t xml:space="preserve">etodologia: </w:t>
            </w:r>
            <w:r w:rsidRPr="00412B4C">
              <w:rPr>
                <w:rFonts w:ascii="Times New Roman" w:hAnsi="Times New Roman" w:cs="Times New Roman"/>
                <w:i/>
                <w:sz w:val="24"/>
                <w:szCs w:val="24"/>
              </w:rPr>
              <w:t>“</w:t>
            </w:r>
            <w:r w:rsidR="00412B4C" w:rsidRPr="00412B4C">
              <w:rPr>
                <w:rFonts w:ascii="Times New Roman" w:hAnsi="Times New Roman" w:cs="Times New Roman"/>
                <w:i/>
                <w:sz w:val="24"/>
                <w:szCs w:val="24"/>
              </w:rPr>
              <w:t xml:space="preserve">[...] </w:t>
            </w:r>
            <w:r w:rsidR="00412B4C" w:rsidRPr="00412B4C">
              <w:rPr>
                <w:rFonts w:ascii="Times New Roman" w:hAnsi="Times New Roman"/>
                <w:i/>
                <w:sz w:val="24"/>
                <w:szCs w:val="24"/>
              </w:rPr>
              <w:t>o AIG (razão entre Ativo Intangível e Patrimônio Líquido) considerando que o indicador representa o valor do ativo intangível em relação ao valor contábil da empresa (PL) e o RAI (razão entre Ativo Intangível e Ativo Total), partindo do pressuposto que os clubes de futebol, pela sua atividade econômica, são entidades intangível-intensivas (SANTOS, 2004; PEREZ; FAMÁ, 2006; BASTOS; PEREIRA; TOSTES, 2007; IUDÍCIBUS et al., 2010; REZENDE; DALMÁCIO; PEREIRA, 2010; CARDOSO; MAIA; PONTE, 2012; HOLANDA et al., 2012; GALVÃO; MIRANDA, 2016; MOTA; BRANDÃO; PONTE, 2016).</w:t>
            </w:r>
            <w:r w:rsidR="00412B4C" w:rsidRPr="00412B4C">
              <w:rPr>
                <w:rFonts w:ascii="Times New Roman" w:hAnsi="Times New Roman"/>
                <w:i/>
                <w:sz w:val="24"/>
                <w:szCs w:val="24"/>
              </w:rPr>
              <w:t>”</w:t>
            </w:r>
          </w:p>
          <w:p w:rsidR="000A4669" w:rsidRPr="00412B4C" w:rsidRDefault="000A4669" w:rsidP="00412B4C">
            <w:pPr>
              <w:numPr>
                <w:ilvl w:val="0"/>
                <w:numId w:val="2"/>
              </w:numPr>
              <w:spacing w:after="0" w:line="240" w:lineRule="auto"/>
              <w:jc w:val="both"/>
              <w:rPr>
                <w:rFonts w:ascii="Times New Roman" w:hAnsi="Times New Roman" w:cs="Times New Roman"/>
                <w:sz w:val="24"/>
                <w:szCs w:val="24"/>
              </w:rPr>
            </w:pPr>
            <w:r w:rsidRPr="00412B4C">
              <w:rPr>
                <w:rFonts w:ascii="Times New Roman" w:hAnsi="Times New Roman" w:cs="Times New Roman"/>
                <w:sz w:val="24"/>
                <w:szCs w:val="24"/>
              </w:rPr>
              <w:t>Foi incluído o Quadro 1</w:t>
            </w:r>
            <w:r w:rsidRPr="00412B4C">
              <w:rPr>
                <w:rFonts w:ascii="Times New Roman" w:hAnsi="Times New Roman" w:cs="Times New Roman"/>
                <w:sz w:val="24"/>
                <w:szCs w:val="24"/>
              </w:rPr>
              <w:t xml:space="preserve"> com a descrição da amostra.</w:t>
            </w:r>
          </w:p>
        </w:tc>
      </w:tr>
    </w:tbl>
    <w:p w:rsidR="007E380E" w:rsidRPr="00B25209" w:rsidRDefault="007E380E" w:rsidP="007E380E">
      <w:pPr>
        <w:spacing w:after="120" w:line="240" w:lineRule="auto"/>
        <w:jc w:val="both"/>
        <w:rPr>
          <w:rFonts w:ascii="Times New Roman" w:hAnsi="Times New Roman" w:cs="Times New Roman"/>
          <w:color w:val="2A2A2A"/>
          <w:sz w:val="12"/>
          <w:szCs w:val="12"/>
        </w:rPr>
      </w:pPr>
      <w:r w:rsidRPr="00B25209">
        <w:rPr>
          <w:rFonts w:ascii="Times New Roman" w:hAnsi="Times New Roman" w:cs="Times New Roman"/>
          <w:color w:val="2A2A2A"/>
          <w:sz w:val="12"/>
          <w:szCs w:val="12"/>
        </w:rPr>
        <w:lastRenderedPageBreak/>
        <w:t xml:space="preserve"> </w:t>
      </w:r>
    </w:p>
    <w:p w:rsidR="00EA6C06" w:rsidRDefault="00B25209" w:rsidP="00B25209">
      <w:pPr>
        <w:spacing w:after="120" w:line="240" w:lineRule="auto"/>
        <w:jc w:val="both"/>
        <w:rPr>
          <w:rFonts w:ascii="Times New Roman" w:hAnsi="Times New Roman" w:cs="Times New Roman"/>
          <w:i/>
          <w:color w:val="2A2A2A"/>
          <w:sz w:val="24"/>
          <w:szCs w:val="24"/>
        </w:rPr>
      </w:pPr>
      <w:r>
        <w:rPr>
          <w:rFonts w:ascii="Times New Roman" w:hAnsi="Times New Roman" w:cs="Times New Roman"/>
          <w:i/>
          <w:color w:val="2A2A2A"/>
          <w:sz w:val="24"/>
          <w:szCs w:val="24"/>
        </w:rPr>
        <w:t xml:space="preserve">10) </w:t>
      </w:r>
      <w:r w:rsidR="00EA6C06" w:rsidRPr="008F405F">
        <w:rPr>
          <w:rFonts w:ascii="Times New Roman" w:hAnsi="Times New Roman" w:cs="Times New Roman"/>
          <w:i/>
          <w:color w:val="2A2A2A"/>
          <w:sz w:val="24"/>
          <w:szCs w:val="24"/>
        </w:rPr>
        <w:t>O quadro 1 não é muito claro, até porque constam informações como ROE e</w:t>
      </w:r>
      <w:r w:rsidR="00EA6C06">
        <w:rPr>
          <w:rFonts w:ascii="Times New Roman" w:hAnsi="Times New Roman" w:cs="Times New Roman"/>
          <w:i/>
          <w:color w:val="2A2A2A"/>
          <w:sz w:val="24"/>
          <w:szCs w:val="24"/>
        </w:rPr>
        <w:t xml:space="preserve"> </w:t>
      </w:r>
      <w:r w:rsidR="00EA6C06" w:rsidRPr="008F405F">
        <w:rPr>
          <w:rFonts w:ascii="Times New Roman" w:hAnsi="Times New Roman" w:cs="Times New Roman"/>
          <w:i/>
          <w:color w:val="2A2A2A"/>
          <w:sz w:val="24"/>
          <w:szCs w:val="24"/>
        </w:rPr>
        <w:t>ROA que não foram abordados no trabalho.</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B25209" w:rsidRPr="00403F48" w:rsidTr="00BC0791">
        <w:trPr>
          <w:trHeight w:val="236"/>
        </w:trPr>
        <w:tc>
          <w:tcPr>
            <w:tcW w:w="9706" w:type="dxa"/>
          </w:tcPr>
          <w:p w:rsidR="00B25209" w:rsidRPr="004E18C4" w:rsidRDefault="00B25209" w:rsidP="00BC0791">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t>Comentário</w:t>
            </w:r>
          </w:p>
        </w:tc>
      </w:tr>
      <w:tr w:rsidR="00B25209" w:rsidRPr="00403F48" w:rsidTr="00BC0791">
        <w:trPr>
          <w:trHeight w:val="295"/>
        </w:trPr>
        <w:tc>
          <w:tcPr>
            <w:tcW w:w="9706" w:type="dxa"/>
          </w:tcPr>
          <w:p w:rsidR="00B25209" w:rsidRPr="004E18C4" w:rsidRDefault="00B01DE1" w:rsidP="00B01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00B25209" w:rsidRPr="008804B3">
              <w:rPr>
                <w:rFonts w:ascii="Times New Roman" w:hAnsi="Times New Roman" w:cs="Times New Roman"/>
                <w:sz w:val="24"/>
                <w:szCs w:val="24"/>
              </w:rPr>
              <w:t>Quadro 2</w:t>
            </w:r>
            <w:r w:rsidR="00B25209">
              <w:rPr>
                <w:rFonts w:ascii="Times New Roman" w:hAnsi="Times New Roman" w:cs="Times New Roman"/>
                <w:sz w:val="24"/>
                <w:szCs w:val="24"/>
              </w:rPr>
              <w:t xml:space="preserve"> (antigo Quadro 1)</w:t>
            </w:r>
            <w:r>
              <w:rPr>
                <w:rFonts w:ascii="Times New Roman" w:hAnsi="Times New Roman" w:cs="Times New Roman"/>
                <w:sz w:val="24"/>
                <w:szCs w:val="24"/>
              </w:rPr>
              <w:t xml:space="preserve"> foi revisado e </w:t>
            </w:r>
            <w:r>
              <w:rPr>
                <w:rFonts w:ascii="Times New Roman" w:hAnsi="Times New Roman" w:cs="Times New Roman"/>
                <w:sz w:val="24"/>
                <w:szCs w:val="24"/>
              </w:rPr>
              <w:t>a</w:t>
            </w:r>
            <w:r w:rsidRPr="008804B3">
              <w:rPr>
                <w:rFonts w:ascii="Times New Roman" w:hAnsi="Times New Roman" w:cs="Times New Roman"/>
                <w:sz w:val="24"/>
                <w:szCs w:val="24"/>
              </w:rPr>
              <w:t>s respectiv</w:t>
            </w:r>
            <w:r>
              <w:rPr>
                <w:rFonts w:ascii="Times New Roman" w:hAnsi="Times New Roman" w:cs="Times New Roman"/>
                <w:sz w:val="24"/>
                <w:szCs w:val="24"/>
              </w:rPr>
              <w:t>a</w:t>
            </w:r>
            <w:r w:rsidRPr="008804B3">
              <w:rPr>
                <w:rFonts w:ascii="Times New Roman" w:hAnsi="Times New Roman" w:cs="Times New Roman"/>
                <w:sz w:val="24"/>
                <w:szCs w:val="24"/>
              </w:rPr>
              <w:t xml:space="preserve">s </w:t>
            </w:r>
            <w:r>
              <w:rPr>
                <w:rFonts w:ascii="Times New Roman" w:hAnsi="Times New Roman" w:cs="Times New Roman"/>
                <w:sz w:val="24"/>
                <w:szCs w:val="24"/>
              </w:rPr>
              <w:t xml:space="preserve">informações </w:t>
            </w:r>
            <w:r>
              <w:rPr>
                <w:rFonts w:ascii="Times New Roman" w:hAnsi="Times New Roman" w:cs="Times New Roman"/>
                <w:sz w:val="24"/>
                <w:szCs w:val="24"/>
              </w:rPr>
              <w:t>(ROE e ROA) retiradas</w:t>
            </w:r>
            <w:r w:rsidR="00B25209">
              <w:rPr>
                <w:rFonts w:ascii="Times New Roman" w:hAnsi="Times New Roman" w:cs="Times New Roman"/>
                <w:sz w:val="24"/>
                <w:szCs w:val="24"/>
              </w:rPr>
              <w:t>.</w:t>
            </w:r>
          </w:p>
        </w:tc>
      </w:tr>
    </w:tbl>
    <w:p w:rsidR="00EA6C06" w:rsidRDefault="00EA6C06" w:rsidP="008804B3">
      <w:pPr>
        <w:spacing w:after="0" w:line="240" w:lineRule="auto"/>
        <w:jc w:val="both"/>
        <w:rPr>
          <w:rFonts w:ascii="Times New Roman" w:hAnsi="Times New Roman" w:cs="Times New Roman"/>
          <w:b/>
          <w:i/>
          <w:color w:val="2A2A2A"/>
          <w:sz w:val="24"/>
          <w:szCs w:val="24"/>
        </w:rPr>
      </w:pPr>
    </w:p>
    <w:p w:rsidR="00023A3D" w:rsidRPr="00023A3D" w:rsidRDefault="008D55E2" w:rsidP="008D55E2">
      <w:pPr>
        <w:spacing w:after="60" w:line="240" w:lineRule="auto"/>
        <w:jc w:val="both"/>
        <w:rPr>
          <w:rFonts w:ascii="Times New Roman" w:hAnsi="Times New Roman" w:cs="Times New Roman"/>
          <w:i/>
          <w:color w:val="2A2A2A"/>
          <w:sz w:val="24"/>
          <w:szCs w:val="24"/>
        </w:rPr>
      </w:pPr>
      <w:r>
        <w:rPr>
          <w:rFonts w:ascii="Times New Roman" w:hAnsi="Times New Roman" w:cs="Times New Roman"/>
          <w:i/>
          <w:color w:val="2A2A2A"/>
          <w:sz w:val="24"/>
          <w:szCs w:val="24"/>
        </w:rPr>
        <w:t xml:space="preserve">11) </w:t>
      </w:r>
      <w:r w:rsidR="00023A3D" w:rsidRPr="00023A3D">
        <w:rPr>
          <w:rFonts w:ascii="Times New Roman" w:hAnsi="Times New Roman" w:cs="Times New Roman"/>
          <w:i/>
          <w:color w:val="2A2A2A"/>
          <w:sz w:val="24"/>
          <w:szCs w:val="24"/>
        </w:rPr>
        <w:t>Na pág. 9, quanto se diz US$ 2.4 milhões, acredito ser bilhões.</w:t>
      </w:r>
    </w:p>
    <w:p w:rsidR="00023A3D" w:rsidRPr="00023A3D" w:rsidRDefault="00023A3D" w:rsidP="00023A3D">
      <w:pPr>
        <w:spacing w:after="120" w:line="240" w:lineRule="auto"/>
        <w:jc w:val="both"/>
        <w:rPr>
          <w:rFonts w:ascii="Times New Roman" w:hAnsi="Times New Roman" w:cs="Times New Roman"/>
          <w:i/>
          <w:color w:val="2A2A2A"/>
          <w:sz w:val="24"/>
          <w:szCs w:val="24"/>
        </w:rPr>
      </w:pPr>
      <w:r w:rsidRPr="00023A3D">
        <w:rPr>
          <w:rFonts w:ascii="Times New Roman" w:hAnsi="Times New Roman" w:cs="Times New Roman"/>
          <w:i/>
          <w:color w:val="2A2A2A"/>
          <w:sz w:val="24"/>
          <w:szCs w:val="24"/>
        </w:rPr>
        <w:t>Na pág. 10, no trecho “... que ultrapassam a casa dos milhões...”,</w:t>
      </w:r>
      <w:r>
        <w:rPr>
          <w:rFonts w:ascii="Times New Roman" w:hAnsi="Times New Roman" w:cs="Times New Roman"/>
          <w:i/>
          <w:color w:val="2A2A2A"/>
          <w:sz w:val="24"/>
          <w:szCs w:val="24"/>
        </w:rPr>
        <w:t xml:space="preserve"> </w:t>
      </w:r>
      <w:r w:rsidRPr="00023A3D">
        <w:rPr>
          <w:rFonts w:ascii="Times New Roman" w:hAnsi="Times New Roman" w:cs="Times New Roman"/>
          <w:i/>
          <w:color w:val="2A2A2A"/>
          <w:sz w:val="24"/>
          <w:szCs w:val="24"/>
        </w:rPr>
        <w:t>acredito ser bilhões.</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8D55E2" w:rsidRPr="00403F48" w:rsidTr="00BC0791">
        <w:trPr>
          <w:trHeight w:val="236"/>
        </w:trPr>
        <w:tc>
          <w:tcPr>
            <w:tcW w:w="9706" w:type="dxa"/>
          </w:tcPr>
          <w:p w:rsidR="008D55E2" w:rsidRPr="004E18C4" w:rsidRDefault="008D55E2" w:rsidP="00BC0791">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t>Comentário</w:t>
            </w:r>
          </w:p>
        </w:tc>
      </w:tr>
      <w:tr w:rsidR="008D55E2" w:rsidRPr="00403F48" w:rsidTr="00BC0791">
        <w:trPr>
          <w:trHeight w:val="295"/>
        </w:trPr>
        <w:tc>
          <w:tcPr>
            <w:tcW w:w="9706" w:type="dxa"/>
          </w:tcPr>
          <w:p w:rsidR="008D55E2" w:rsidRPr="004E18C4" w:rsidRDefault="008D55E2" w:rsidP="00BC0791">
            <w:pPr>
              <w:spacing w:after="0" w:line="240" w:lineRule="auto"/>
              <w:jc w:val="both"/>
              <w:rPr>
                <w:rFonts w:ascii="Times New Roman" w:hAnsi="Times New Roman" w:cs="Times New Roman"/>
                <w:sz w:val="24"/>
                <w:szCs w:val="24"/>
              </w:rPr>
            </w:pPr>
            <w:r w:rsidRPr="008804B3">
              <w:rPr>
                <w:rFonts w:ascii="Times New Roman" w:hAnsi="Times New Roman" w:cs="Times New Roman"/>
                <w:sz w:val="24"/>
                <w:szCs w:val="24"/>
              </w:rPr>
              <w:t>Foram alterados os respectivos termos.</w:t>
            </w:r>
          </w:p>
        </w:tc>
      </w:tr>
    </w:tbl>
    <w:p w:rsidR="00CD6F87" w:rsidRPr="006D7C1D" w:rsidRDefault="00CD6F87" w:rsidP="008D55E2">
      <w:pPr>
        <w:spacing w:after="120" w:line="240" w:lineRule="auto"/>
        <w:jc w:val="both"/>
        <w:rPr>
          <w:rFonts w:ascii="Times New Roman" w:hAnsi="Times New Roman" w:cs="Times New Roman"/>
          <w:color w:val="2A2A2A"/>
          <w:sz w:val="12"/>
          <w:szCs w:val="12"/>
        </w:rPr>
      </w:pPr>
    </w:p>
    <w:p w:rsidR="00023A3D" w:rsidRPr="006D7C1D" w:rsidRDefault="006D7C1D" w:rsidP="00023A3D">
      <w:pPr>
        <w:spacing w:after="120" w:line="240" w:lineRule="auto"/>
        <w:jc w:val="both"/>
        <w:rPr>
          <w:rFonts w:ascii="Times New Roman" w:hAnsi="Times New Roman" w:cs="Times New Roman"/>
          <w:b/>
          <w:i/>
          <w:color w:val="2A2A2A"/>
          <w:sz w:val="24"/>
          <w:szCs w:val="24"/>
        </w:rPr>
      </w:pPr>
      <w:r>
        <w:rPr>
          <w:rFonts w:ascii="Times New Roman" w:hAnsi="Times New Roman" w:cs="Times New Roman"/>
          <w:i/>
          <w:color w:val="2A2A2A"/>
          <w:sz w:val="24"/>
          <w:szCs w:val="24"/>
        </w:rPr>
        <w:t xml:space="preserve">12) </w:t>
      </w:r>
      <w:r w:rsidR="00023A3D" w:rsidRPr="00023A3D">
        <w:rPr>
          <w:rFonts w:ascii="Times New Roman" w:hAnsi="Times New Roman" w:cs="Times New Roman"/>
          <w:i/>
          <w:color w:val="2A2A2A"/>
          <w:sz w:val="24"/>
          <w:szCs w:val="24"/>
        </w:rPr>
        <w:t>Melhorar o gráfico 1.</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6D7C1D" w:rsidRPr="00403F48" w:rsidTr="00BC0791">
        <w:trPr>
          <w:trHeight w:val="236"/>
        </w:trPr>
        <w:tc>
          <w:tcPr>
            <w:tcW w:w="9706" w:type="dxa"/>
          </w:tcPr>
          <w:p w:rsidR="006D7C1D" w:rsidRPr="004E18C4" w:rsidRDefault="006D7C1D" w:rsidP="00BC0791">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t>Comentário</w:t>
            </w:r>
          </w:p>
        </w:tc>
      </w:tr>
      <w:tr w:rsidR="006D7C1D" w:rsidRPr="00403F48" w:rsidTr="00BC0791">
        <w:trPr>
          <w:trHeight w:val="295"/>
        </w:trPr>
        <w:tc>
          <w:tcPr>
            <w:tcW w:w="9706" w:type="dxa"/>
          </w:tcPr>
          <w:p w:rsidR="006D7C1D" w:rsidRPr="004E18C4" w:rsidRDefault="006D7C1D" w:rsidP="00BC0791">
            <w:pPr>
              <w:spacing w:after="0" w:line="240" w:lineRule="auto"/>
              <w:jc w:val="both"/>
              <w:rPr>
                <w:rFonts w:ascii="Times New Roman" w:hAnsi="Times New Roman" w:cs="Times New Roman"/>
                <w:sz w:val="24"/>
                <w:szCs w:val="24"/>
              </w:rPr>
            </w:pPr>
            <w:r w:rsidRPr="008804B3">
              <w:rPr>
                <w:rFonts w:ascii="Times New Roman" w:hAnsi="Times New Roman" w:cs="Times New Roman"/>
                <w:sz w:val="24"/>
                <w:szCs w:val="24"/>
              </w:rPr>
              <w:t>Gráfico alterado, conforme solicitado.</w:t>
            </w:r>
          </w:p>
        </w:tc>
      </w:tr>
    </w:tbl>
    <w:p w:rsidR="00E8591E" w:rsidRPr="00A06B8B" w:rsidRDefault="00E8591E" w:rsidP="008804B3">
      <w:pPr>
        <w:spacing w:after="120" w:line="240" w:lineRule="auto"/>
        <w:jc w:val="both"/>
        <w:rPr>
          <w:rFonts w:ascii="Times New Roman" w:hAnsi="Times New Roman" w:cs="Times New Roman"/>
          <w:b/>
          <w:i/>
          <w:color w:val="2A2A2A"/>
          <w:sz w:val="12"/>
          <w:szCs w:val="12"/>
        </w:rPr>
      </w:pPr>
    </w:p>
    <w:p w:rsidR="00023A3D" w:rsidRPr="00A06B8B" w:rsidRDefault="00A06B8B" w:rsidP="00023A3D">
      <w:pPr>
        <w:spacing w:after="120" w:line="240" w:lineRule="auto"/>
        <w:jc w:val="both"/>
        <w:rPr>
          <w:rFonts w:ascii="Times New Roman" w:hAnsi="Times New Roman" w:cs="Times New Roman"/>
          <w:b/>
          <w:i/>
          <w:color w:val="2A2A2A"/>
          <w:sz w:val="24"/>
          <w:szCs w:val="24"/>
        </w:rPr>
      </w:pPr>
      <w:r>
        <w:rPr>
          <w:rFonts w:ascii="Times New Roman" w:hAnsi="Times New Roman" w:cs="Times New Roman"/>
          <w:i/>
          <w:color w:val="2A2A2A"/>
          <w:sz w:val="24"/>
          <w:szCs w:val="24"/>
        </w:rPr>
        <w:t xml:space="preserve">13) </w:t>
      </w:r>
      <w:r w:rsidR="00023A3D" w:rsidRPr="00023A3D">
        <w:rPr>
          <w:rFonts w:ascii="Times New Roman" w:hAnsi="Times New Roman" w:cs="Times New Roman"/>
          <w:i/>
          <w:color w:val="2A2A2A"/>
          <w:sz w:val="24"/>
          <w:szCs w:val="24"/>
        </w:rPr>
        <w:t>As informações sobre a características das entidades da amostra (SA,</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ações em bolsa ou LTDA) seria relevante se tivesse sido feito um</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embasamento melhor no referencial teórico. Acredito que essas</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características são fundamentais para o entendimento da qualidade da</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informação contábil, vis a vis os incentivos econômicos existentes.</w:t>
      </w:r>
      <w:r>
        <w:rPr>
          <w:rFonts w:ascii="Times New Roman" w:hAnsi="Times New Roman" w:cs="Times New Roman"/>
          <w:b/>
          <w:i/>
          <w:color w:val="2A2A2A"/>
          <w:sz w:val="24"/>
          <w:szCs w:val="24"/>
        </w:rPr>
        <w:t xml:space="preserve"> </w:t>
      </w:r>
      <w:r w:rsidR="00023A3D" w:rsidRPr="00023A3D">
        <w:rPr>
          <w:rFonts w:ascii="Times New Roman" w:hAnsi="Times New Roman" w:cs="Times New Roman"/>
          <w:i/>
          <w:color w:val="2A2A2A"/>
          <w:sz w:val="24"/>
          <w:szCs w:val="24"/>
        </w:rPr>
        <w:t>Assim, a descrição dos resultados apresentados na pág 11 é fraca ao não</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explorar a questão da associação entre o tipo jurídico das entidades e a</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questão da divulgação das informações, visando se inferir sobre os</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possíveis incentivos econômicos existentes e que levam essas entidades a</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divulgar mais ou menos informações. Além disso, o ambiente institucional</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também tem importância relevante nessa questão.</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A06B8B" w:rsidRPr="00403F48" w:rsidTr="00BC0791">
        <w:trPr>
          <w:trHeight w:val="236"/>
        </w:trPr>
        <w:tc>
          <w:tcPr>
            <w:tcW w:w="9706" w:type="dxa"/>
          </w:tcPr>
          <w:p w:rsidR="00A06B8B" w:rsidRPr="004E18C4" w:rsidRDefault="00A06B8B" w:rsidP="00BC0791">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t>Comentário</w:t>
            </w:r>
          </w:p>
        </w:tc>
      </w:tr>
      <w:tr w:rsidR="00A06B8B" w:rsidRPr="00403F48" w:rsidTr="00BC0791">
        <w:trPr>
          <w:trHeight w:val="295"/>
        </w:trPr>
        <w:tc>
          <w:tcPr>
            <w:tcW w:w="9706" w:type="dxa"/>
          </w:tcPr>
          <w:p w:rsidR="00A06B8B" w:rsidRPr="004E18C4" w:rsidRDefault="00A06B8B" w:rsidP="002B01AB">
            <w:pPr>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Além d</w:t>
            </w:r>
            <w:r w:rsidR="004F1E49">
              <w:rPr>
                <w:rFonts w:ascii="Times New Roman" w:hAnsi="Times New Roman" w:cs="Times New Roman"/>
                <w:sz w:val="24"/>
                <w:szCs w:val="24"/>
              </w:rPr>
              <w:t>a</w:t>
            </w:r>
            <w:r>
              <w:rPr>
                <w:rFonts w:ascii="Times New Roman" w:hAnsi="Times New Roman" w:cs="Times New Roman"/>
                <w:sz w:val="24"/>
                <w:szCs w:val="24"/>
              </w:rPr>
              <w:t xml:space="preserve"> i</w:t>
            </w:r>
            <w:r w:rsidRPr="00E8591E">
              <w:rPr>
                <w:rFonts w:ascii="Times New Roman" w:hAnsi="Times New Roman" w:cs="Times New Roman"/>
                <w:sz w:val="24"/>
                <w:szCs w:val="24"/>
              </w:rPr>
              <w:t>nclusão d</w:t>
            </w:r>
            <w:r>
              <w:rPr>
                <w:rFonts w:ascii="Times New Roman" w:hAnsi="Times New Roman" w:cs="Times New Roman"/>
                <w:sz w:val="24"/>
                <w:szCs w:val="24"/>
              </w:rPr>
              <w:t>e um</w:t>
            </w:r>
            <w:r w:rsidRPr="00E8591E">
              <w:rPr>
                <w:rFonts w:ascii="Times New Roman" w:hAnsi="Times New Roman" w:cs="Times New Roman"/>
                <w:sz w:val="24"/>
                <w:szCs w:val="24"/>
              </w:rPr>
              <w:t xml:space="preserve"> parágrafo no</w:t>
            </w:r>
            <w:r>
              <w:rPr>
                <w:rFonts w:ascii="Times New Roman" w:hAnsi="Times New Roman" w:cs="Times New Roman"/>
                <w:sz w:val="24"/>
                <w:szCs w:val="24"/>
              </w:rPr>
              <w:t xml:space="preserve"> referencial teórico no</w:t>
            </w:r>
            <w:r w:rsidRPr="00E8591E">
              <w:rPr>
                <w:rFonts w:ascii="Times New Roman" w:hAnsi="Times New Roman" w:cs="Times New Roman"/>
                <w:sz w:val="24"/>
                <w:szCs w:val="24"/>
              </w:rPr>
              <w:t xml:space="preserve"> </w:t>
            </w:r>
            <w:r w:rsidR="004F1E49">
              <w:rPr>
                <w:rFonts w:ascii="Times New Roman" w:hAnsi="Times New Roman" w:cs="Times New Roman"/>
                <w:sz w:val="24"/>
                <w:szCs w:val="24"/>
              </w:rPr>
              <w:t xml:space="preserve">item </w:t>
            </w:r>
            <w:r w:rsidRPr="008804B3">
              <w:rPr>
                <w:rFonts w:ascii="Times New Roman" w:hAnsi="Times New Roman" w:cs="Times New Roman"/>
                <w:i/>
                <w:sz w:val="24"/>
                <w:szCs w:val="24"/>
              </w:rPr>
              <w:t>2.1 Ativos intangíveis</w:t>
            </w:r>
            <w:r>
              <w:rPr>
                <w:rFonts w:ascii="Times New Roman" w:hAnsi="Times New Roman" w:cs="Times New Roman"/>
                <w:sz w:val="24"/>
                <w:szCs w:val="24"/>
              </w:rPr>
              <w:t xml:space="preserve">, citada </w:t>
            </w:r>
            <w:r w:rsidR="004F1E49">
              <w:rPr>
                <w:rFonts w:ascii="Times New Roman" w:hAnsi="Times New Roman" w:cs="Times New Roman"/>
                <w:sz w:val="24"/>
                <w:szCs w:val="24"/>
              </w:rPr>
              <w:t>no Comentário ao ponto 7 do Avaliador C</w:t>
            </w:r>
            <w:r>
              <w:rPr>
                <w:rFonts w:ascii="Times New Roman" w:hAnsi="Times New Roman" w:cs="Times New Roman"/>
                <w:sz w:val="24"/>
                <w:szCs w:val="24"/>
              </w:rPr>
              <w:t>, foi incluído um adendo n</w:t>
            </w:r>
            <w:r w:rsidR="00AD4E0D">
              <w:rPr>
                <w:rFonts w:ascii="Times New Roman" w:hAnsi="Times New Roman" w:cs="Times New Roman"/>
                <w:sz w:val="24"/>
                <w:szCs w:val="24"/>
              </w:rPr>
              <w:t xml:space="preserve">a pág. 12 o seguinte </w:t>
            </w:r>
            <w:r>
              <w:rPr>
                <w:rFonts w:ascii="Times New Roman" w:hAnsi="Times New Roman" w:cs="Times New Roman"/>
                <w:sz w:val="24"/>
                <w:szCs w:val="24"/>
              </w:rPr>
              <w:t>parágrafo:</w:t>
            </w:r>
            <w:r w:rsidRPr="00AD4E0D">
              <w:rPr>
                <w:rFonts w:ascii="Times New Roman" w:hAnsi="Times New Roman" w:cs="Times New Roman"/>
                <w:i/>
                <w:sz w:val="24"/>
                <w:szCs w:val="24"/>
              </w:rPr>
              <w:t xml:space="preserve"> “</w:t>
            </w:r>
            <w:r w:rsidR="00AD4E0D" w:rsidRPr="00AD4E0D">
              <w:rPr>
                <w:rFonts w:ascii="Times New Roman" w:hAnsi="Times New Roman"/>
                <w:i/>
                <w:sz w:val="24"/>
                <w:szCs w:val="24"/>
              </w:rPr>
              <w:t xml:space="preserve">Enquanto as sociedades anônimas – que se configuram grande parcela dos clubes europeus – são incentivadas a divulgar mais informações com o propósito de ganhar mais credibilidade no mercado e assim facilitar a entrada de recursos, seja por meio de novos investidores ou credores, por outro lado, presume-se que as entidades sem fins lucrativos – tipo de sociedade da totalidade dos clubes brasileiros – o incentivo à divulgação de informações econômico-financeiras tem partido do governo ou órgãos reguladores, em troca de benefícios fiscais e tributários. É o que se pode </w:t>
            </w:r>
            <w:r w:rsidR="00AD4E0D" w:rsidRPr="00AD4E0D">
              <w:rPr>
                <w:rFonts w:ascii="Times New Roman" w:hAnsi="Times New Roman"/>
                <w:i/>
                <w:sz w:val="24"/>
                <w:szCs w:val="24"/>
              </w:rPr>
              <w:lastRenderedPageBreak/>
              <w:t>constatar po</w:t>
            </w:r>
            <w:r w:rsidR="00AD4E0D" w:rsidRPr="00AD4E0D">
              <w:rPr>
                <w:rFonts w:ascii="Times New Roman" w:hAnsi="Times New Roman"/>
                <w:i/>
                <w:sz w:val="24"/>
                <w:szCs w:val="24"/>
              </w:rPr>
              <w:t>r</w:t>
            </w:r>
            <w:r w:rsidR="00AD4E0D" w:rsidRPr="00AD4E0D">
              <w:rPr>
                <w:rFonts w:ascii="Times New Roman" w:hAnsi="Times New Roman"/>
                <w:i/>
                <w:sz w:val="24"/>
                <w:szCs w:val="24"/>
              </w:rPr>
              <w:t xml:space="preserve"> meio das iniciativas promovidas nos últimos anos no Brasil com a emissão de novas normas e leis, como a Resolução CFC nº 1.429/2013, que aprovou a ITG 2003 - Entidade Desportiva Profissional, e a Lei nº 13.155/2015, buscando incentivar a quebra da assimetria informacional e aproximar a gestão dos clubes brasileiros ao modelo europeu.</w:t>
            </w:r>
            <w:r w:rsidR="00AD4E0D" w:rsidRPr="00AD4E0D">
              <w:rPr>
                <w:rFonts w:ascii="Times New Roman" w:hAnsi="Times New Roman"/>
                <w:i/>
                <w:sz w:val="24"/>
                <w:szCs w:val="24"/>
              </w:rPr>
              <w:t>”</w:t>
            </w:r>
          </w:p>
        </w:tc>
      </w:tr>
    </w:tbl>
    <w:p w:rsidR="00A06B8B" w:rsidRPr="002B01AB" w:rsidRDefault="00A06B8B" w:rsidP="003C0FD9">
      <w:pPr>
        <w:spacing w:after="120" w:line="240" w:lineRule="auto"/>
        <w:jc w:val="both"/>
        <w:rPr>
          <w:rFonts w:ascii="Times New Roman" w:hAnsi="Times New Roman" w:cs="Times New Roman"/>
          <w:b/>
          <w:i/>
          <w:color w:val="2A2A2A"/>
          <w:sz w:val="8"/>
          <w:szCs w:val="8"/>
        </w:rPr>
      </w:pPr>
    </w:p>
    <w:p w:rsidR="00023A3D" w:rsidRPr="002B01AB" w:rsidRDefault="002B01AB" w:rsidP="00023A3D">
      <w:pPr>
        <w:spacing w:after="120" w:line="240" w:lineRule="auto"/>
        <w:jc w:val="both"/>
        <w:rPr>
          <w:rFonts w:ascii="Times New Roman" w:hAnsi="Times New Roman" w:cs="Times New Roman"/>
          <w:b/>
          <w:i/>
          <w:color w:val="2A2A2A"/>
          <w:sz w:val="24"/>
          <w:szCs w:val="24"/>
        </w:rPr>
      </w:pPr>
      <w:r>
        <w:rPr>
          <w:rFonts w:ascii="Times New Roman" w:hAnsi="Times New Roman" w:cs="Times New Roman"/>
          <w:i/>
          <w:color w:val="2A2A2A"/>
          <w:sz w:val="24"/>
          <w:szCs w:val="24"/>
        </w:rPr>
        <w:t xml:space="preserve">14) </w:t>
      </w:r>
      <w:r w:rsidR="00023A3D" w:rsidRPr="00023A3D">
        <w:rPr>
          <w:rFonts w:ascii="Times New Roman" w:hAnsi="Times New Roman" w:cs="Times New Roman"/>
          <w:i/>
          <w:color w:val="2A2A2A"/>
          <w:sz w:val="24"/>
          <w:szCs w:val="24"/>
        </w:rPr>
        <w:t>Na pág. 12, em US$ 300 mil e demais valores, é essa a escala mesmo?</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2B01AB" w:rsidRPr="00403F48" w:rsidTr="00BC0791">
        <w:trPr>
          <w:trHeight w:val="236"/>
        </w:trPr>
        <w:tc>
          <w:tcPr>
            <w:tcW w:w="9706" w:type="dxa"/>
          </w:tcPr>
          <w:p w:rsidR="002B01AB" w:rsidRPr="004E18C4" w:rsidRDefault="002B01AB" w:rsidP="00BC0791">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t>Comentário</w:t>
            </w:r>
          </w:p>
        </w:tc>
      </w:tr>
      <w:tr w:rsidR="002B01AB" w:rsidRPr="00403F48" w:rsidTr="00BC0791">
        <w:trPr>
          <w:trHeight w:val="295"/>
        </w:trPr>
        <w:tc>
          <w:tcPr>
            <w:tcW w:w="9706" w:type="dxa"/>
          </w:tcPr>
          <w:p w:rsidR="002B01AB" w:rsidRPr="004E18C4" w:rsidRDefault="002B01AB" w:rsidP="002B01AB">
            <w:pPr>
              <w:spacing w:after="0" w:line="240" w:lineRule="auto"/>
              <w:jc w:val="both"/>
              <w:rPr>
                <w:rFonts w:ascii="Times New Roman" w:hAnsi="Times New Roman" w:cs="Times New Roman"/>
                <w:sz w:val="24"/>
                <w:szCs w:val="24"/>
              </w:rPr>
            </w:pPr>
            <w:r w:rsidRPr="002B01AB">
              <w:rPr>
                <w:rFonts w:ascii="Times New Roman" w:hAnsi="Times New Roman" w:cs="Times New Roman"/>
                <w:sz w:val="24"/>
                <w:szCs w:val="24"/>
              </w:rPr>
              <w:t>Sim. É es</w:t>
            </w:r>
            <w:r>
              <w:rPr>
                <w:rFonts w:ascii="Times New Roman" w:hAnsi="Times New Roman" w:cs="Times New Roman"/>
                <w:sz w:val="24"/>
                <w:szCs w:val="24"/>
              </w:rPr>
              <w:t>s</w:t>
            </w:r>
            <w:r w:rsidRPr="002B01AB">
              <w:rPr>
                <w:rFonts w:ascii="Times New Roman" w:hAnsi="Times New Roman" w:cs="Times New Roman"/>
                <w:sz w:val="24"/>
                <w:szCs w:val="24"/>
              </w:rPr>
              <w:t>a escala. Apenas os três clubes citados apresentaram cifras inferiores.</w:t>
            </w:r>
          </w:p>
        </w:tc>
      </w:tr>
    </w:tbl>
    <w:p w:rsidR="002B01AB" w:rsidRPr="002B01AB" w:rsidRDefault="002B01AB" w:rsidP="00023A3D">
      <w:pPr>
        <w:spacing w:after="120" w:line="240" w:lineRule="auto"/>
        <w:jc w:val="both"/>
        <w:rPr>
          <w:rFonts w:ascii="Times New Roman" w:hAnsi="Times New Roman" w:cs="Times New Roman"/>
          <w:i/>
          <w:color w:val="2A2A2A"/>
          <w:sz w:val="12"/>
          <w:szCs w:val="12"/>
        </w:rPr>
      </w:pPr>
    </w:p>
    <w:p w:rsidR="00023A3D" w:rsidRPr="00023A3D" w:rsidRDefault="002B01AB" w:rsidP="00023A3D">
      <w:pPr>
        <w:spacing w:after="120" w:line="240" w:lineRule="auto"/>
        <w:jc w:val="both"/>
        <w:rPr>
          <w:rFonts w:ascii="Times New Roman" w:hAnsi="Times New Roman" w:cs="Times New Roman"/>
          <w:i/>
          <w:color w:val="2A2A2A"/>
          <w:sz w:val="24"/>
          <w:szCs w:val="24"/>
        </w:rPr>
      </w:pPr>
      <w:r>
        <w:rPr>
          <w:rFonts w:ascii="Times New Roman" w:hAnsi="Times New Roman" w:cs="Times New Roman"/>
          <w:i/>
          <w:color w:val="2A2A2A"/>
          <w:sz w:val="24"/>
          <w:szCs w:val="24"/>
        </w:rPr>
        <w:t>15)</w:t>
      </w:r>
      <w:r w:rsidR="003C0FD9">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Melhor o gráfico 2. Por ele não dá para perceber a dispersão alertada no</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texto.</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2B01AB" w:rsidRPr="00403F48" w:rsidTr="00BC0791">
        <w:trPr>
          <w:trHeight w:val="236"/>
        </w:trPr>
        <w:tc>
          <w:tcPr>
            <w:tcW w:w="9706" w:type="dxa"/>
          </w:tcPr>
          <w:p w:rsidR="002B01AB" w:rsidRPr="004E18C4" w:rsidRDefault="002B01AB" w:rsidP="00BC0791">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t>Comentário</w:t>
            </w:r>
          </w:p>
        </w:tc>
      </w:tr>
      <w:tr w:rsidR="002B01AB" w:rsidRPr="00403F48" w:rsidTr="00BC0791">
        <w:trPr>
          <w:trHeight w:val="295"/>
        </w:trPr>
        <w:tc>
          <w:tcPr>
            <w:tcW w:w="9706" w:type="dxa"/>
          </w:tcPr>
          <w:p w:rsidR="002B01AB" w:rsidRPr="004E18C4" w:rsidRDefault="002B01AB" w:rsidP="00BC0791">
            <w:pPr>
              <w:spacing w:after="0" w:line="240" w:lineRule="auto"/>
              <w:jc w:val="both"/>
              <w:rPr>
                <w:rFonts w:ascii="Times New Roman" w:hAnsi="Times New Roman" w:cs="Times New Roman"/>
                <w:sz w:val="24"/>
                <w:szCs w:val="24"/>
              </w:rPr>
            </w:pPr>
            <w:r w:rsidRPr="008804B3">
              <w:rPr>
                <w:rFonts w:ascii="Times New Roman" w:hAnsi="Times New Roman" w:cs="Times New Roman"/>
                <w:sz w:val="24"/>
                <w:szCs w:val="24"/>
              </w:rPr>
              <w:t>Gráfico alterado, conforme solicitado.</w:t>
            </w:r>
          </w:p>
        </w:tc>
      </w:tr>
    </w:tbl>
    <w:p w:rsidR="002B01AB" w:rsidRPr="00AA351E" w:rsidRDefault="002B01AB" w:rsidP="003C0FD9">
      <w:pPr>
        <w:spacing w:after="120" w:line="240" w:lineRule="auto"/>
        <w:jc w:val="both"/>
        <w:rPr>
          <w:rFonts w:ascii="Times New Roman" w:hAnsi="Times New Roman" w:cs="Times New Roman"/>
          <w:b/>
          <w:i/>
          <w:color w:val="2A2A2A"/>
          <w:sz w:val="8"/>
          <w:szCs w:val="8"/>
        </w:rPr>
      </w:pPr>
    </w:p>
    <w:p w:rsidR="00023A3D" w:rsidRPr="00AA351E" w:rsidRDefault="00AA351E" w:rsidP="00AA351E">
      <w:pPr>
        <w:spacing w:after="60" w:line="240" w:lineRule="auto"/>
        <w:jc w:val="both"/>
        <w:rPr>
          <w:rFonts w:ascii="Times New Roman" w:hAnsi="Times New Roman" w:cs="Times New Roman"/>
          <w:b/>
          <w:i/>
          <w:color w:val="2A2A2A"/>
          <w:sz w:val="24"/>
          <w:szCs w:val="24"/>
        </w:rPr>
      </w:pPr>
      <w:r>
        <w:rPr>
          <w:rFonts w:ascii="Times New Roman" w:hAnsi="Times New Roman" w:cs="Times New Roman"/>
          <w:i/>
          <w:color w:val="2A2A2A"/>
          <w:sz w:val="24"/>
          <w:szCs w:val="24"/>
        </w:rPr>
        <w:t xml:space="preserve">16) </w:t>
      </w:r>
      <w:r w:rsidR="00023A3D" w:rsidRPr="00023A3D">
        <w:rPr>
          <w:rFonts w:ascii="Times New Roman" w:hAnsi="Times New Roman" w:cs="Times New Roman"/>
          <w:i/>
          <w:color w:val="2A2A2A"/>
          <w:sz w:val="24"/>
          <w:szCs w:val="24"/>
        </w:rPr>
        <w:t>Não se explora adequadamente o porquê da diferenciação dos resultados</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entre os clubes brasileiros e europeus. Parece-me que existem legislações</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diferentes que possam explicar, por exemplo, que nos clubes europeus não se</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divulga nenhum valor em “atletas contratados” e no Brasil é o item mais</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relevante. Faltou um aprofundamento nessa questão, apesar de se ter chamado</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atenção da existência de diferentes legislações, no caso, não estou me</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referindo a norma contábil.</w:t>
      </w:r>
    </w:p>
    <w:p w:rsidR="00023A3D" w:rsidRPr="00023A3D" w:rsidRDefault="00023A3D" w:rsidP="00023A3D">
      <w:pPr>
        <w:spacing w:after="120" w:line="240" w:lineRule="auto"/>
        <w:jc w:val="both"/>
        <w:rPr>
          <w:rFonts w:ascii="Times New Roman" w:hAnsi="Times New Roman" w:cs="Times New Roman"/>
          <w:i/>
          <w:color w:val="2A2A2A"/>
          <w:sz w:val="24"/>
          <w:szCs w:val="24"/>
        </w:rPr>
      </w:pPr>
      <w:r w:rsidRPr="00023A3D">
        <w:rPr>
          <w:rFonts w:ascii="Times New Roman" w:hAnsi="Times New Roman" w:cs="Times New Roman"/>
          <w:i/>
          <w:color w:val="2A2A2A"/>
          <w:sz w:val="24"/>
          <w:szCs w:val="24"/>
        </w:rPr>
        <w:t>Como foi o mercado de compra e venda de jogados em 2011. Isso poderia</w:t>
      </w:r>
      <w:r>
        <w:rPr>
          <w:rFonts w:ascii="Times New Roman" w:hAnsi="Times New Roman" w:cs="Times New Roman"/>
          <w:i/>
          <w:color w:val="2A2A2A"/>
          <w:sz w:val="24"/>
          <w:szCs w:val="24"/>
        </w:rPr>
        <w:t xml:space="preserve"> </w:t>
      </w:r>
      <w:r w:rsidRPr="00023A3D">
        <w:rPr>
          <w:rFonts w:ascii="Times New Roman" w:hAnsi="Times New Roman" w:cs="Times New Roman"/>
          <w:i/>
          <w:color w:val="2A2A2A"/>
          <w:sz w:val="24"/>
          <w:szCs w:val="24"/>
        </w:rPr>
        <w:t>explicar algumas diferenças verificadas?</w:t>
      </w:r>
      <w:r>
        <w:rPr>
          <w:rFonts w:ascii="Times New Roman" w:hAnsi="Times New Roman" w:cs="Times New Roman"/>
          <w:i/>
          <w:color w:val="2A2A2A"/>
          <w:sz w:val="24"/>
          <w:szCs w:val="24"/>
        </w:rPr>
        <w:t xml:space="preserve"> </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AA351E" w:rsidRPr="00403F48" w:rsidTr="00BC0791">
        <w:trPr>
          <w:trHeight w:val="236"/>
        </w:trPr>
        <w:tc>
          <w:tcPr>
            <w:tcW w:w="9706" w:type="dxa"/>
          </w:tcPr>
          <w:p w:rsidR="00AA351E" w:rsidRPr="004E18C4" w:rsidRDefault="00AA351E" w:rsidP="00BC0791">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t>Comentário</w:t>
            </w:r>
          </w:p>
        </w:tc>
      </w:tr>
      <w:tr w:rsidR="00AA351E" w:rsidRPr="00403F48" w:rsidTr="00BC0791">
        <w:trPr>
          <w:trHeight w:val="295"/>
        </w:trPr>
        <w:tc>
          <w:tcPr>
            <w:tcW w:w="9706" w:type="dxa"/>
          </w:tcPr>
          <w:p w:rsidR="00AA351E" w:rsidRPr="008804B3" w:rsidRDefault="00AA351E" w:rsidP="00AA351E">
            <w:pPr>
              <w:pStyle w:val="PargrafodaLista"/>
              <w:numPr>
                <w:ilvl w:val="0"/>
                <w:numId w:val="2"/>
              </w:numPr>
              <w:spacing w:after="120" w:line="240" w:lineRule="auto"/>
              <w:jc w:val="both"/>
              <w:rPr>
                <w:rFonts w:ascii="Times New Roman" w:hAnsi="Times New Roman" w:cs="Times New Roman"/>
                <w:color w:val="2A2A2A"/>
                <w:sz w:val="24"/>
                <w:szCs w:val="24"/>
              </w:rPr>
            </w:pPr>
            <w:r w:rsidRPr="008804B3">
              <w:rPr>
                <w:rFonts w:ascii="Times New Roman" w:hAnsi="Times New Roman" w:cs="Times New Roman"/>
                <w:color w:val="2A2A2A"/>
                <w:sz w:val="24"/>
                <w:szCs w:val="24"/>
              </w:rPr>
              <w:t xml:space="preserve">Foram adicionados comentários pertinentes à elucidação do </w:t>
            </w:r>
            <w:r w:rsidR="00BB6482">
              <w:rPr>
                <w:rFonts w:ascii="Times New Roman" w:hAnsi="Times New Roman" w:cs="Times New Roman"/>
                <w:color w:val="2A2A2A"/>
                <w:sz w:val="24"/>
                <w:szCs w:val="24"/>
              </w:rPr>
              <w:t>A</w:t>
            </w:r>
            <w:r w:rsidRPr="008804B3">
              <w:rPr>
                <w:rFonts w:ascii="Times New Roman" w:hAnsi="Times New Roman" w:cs="Times New Roman"/>
                <w:color w:val="2A2A2A"/>
                <w:sz w:val="24"/>
                <w:szCs w:val="24"/>
              </w:rPr>
              <w:t>valiador C n</w:t>
            </w:r>
            <w:r w:rsidR="00CE54A1">
              <w:rPr>
                <w:rFonts w:ascii="Times New Roman" w:hAnsi="Times New Roman" w:cs="Times New Roman"/>
                <w:color w:val="2A2A2A"/>
                <w:sz w:val="24"/>
                <w:szCs w:val="24"/>
              </w:rPr>
              <w:t xml:space="preserve">a pág. 14 e na pág. 15, </w:t>
            </w:r>
            <w:r>
              <w:rPr>
                <w:rFonts w:ascii="Times New Roman" w:hAnsi="Times New Roman" w:cs="Times New Roman"/>
                <w:color w:val="2A2A2A"/>
                <w:sz w:val="24"/>
                <w:szCs w:val="24"/>
              </w:rPr>
              <w:t xml:space="preserve">conforme </w:t>
            </w:r>
            <w:r w:rsidR="00BB6482">
              <w:rPr>
                <w:rFonts w:ascii="Times New Roman" w:hAnsi="Times New Roman" w:cs="Times New Roman"/>
                <w:color w:val="2A2A2A"/>
                <w:sz w:val="24"/>
                <w:szCs w:val="24"/>
              </w:rPr>
              <w:t>transcriç</w:t>
            </w:r>
            <w:r w:rsidR="00CE54A1">
              <w:rPr>
                <w:rFonts w:ascii="Times New Roman" w:hAnsi="Times New Roman" w:cs="Times New Roman"/>
                <w:color w:val="2A2A2A"/>
                <w:sz w:val="24"/>
                <w:szCs w:val="24"/>
              </w:rPr>
              <w:t>ões</w:t>
            </w:r>
            <w:r w:rsidR="00BB6482">
              <w:rPr>
                <w:rFonts w:ascii="Times New Roman" w:hAnsi="Times New Roman" w:cs="Times New Roman"/>
                <w:color w:val="2A2A2A"/>
                <w:sz w:val="24"/>
                <w:szCs w:val="24"/>
              </w:rPr>
              <w:t xml:space="preserve"> a </w:t>
            </w:r>
            <w:r>
              <w:rPr>
                <w:rFonts w:ascii="Times New Roman" w:hAnsi="Times New Roman" w:cs="Times New Roman"/>
                <w:color w:val="2A2A2A"/>
                <w:sz w:val="24"/>
                <w:szCs w:val="24"/>
              </w:rPr>
              <w:t xml:space="preserve">seguir: </w:t>
            </w:r>
          </w:p>
          <w:p w:rsidR="00AA351E" w:rsidRPr="00CE54A1" w:rsidRDefault="00AA351E" w:rsidP="00CE54A1">
            <w:pPr>
              <w:pStyle w:val="PargrafodaLista"/>
              <w:spacing w:after="120" w:line="240" w:lineRule="auto"/>
              <w:jc w:val="both"/>
              <w:rPr>
                <w:rFonts w:ascii="Times New Roman" w:hAnsi="Times New Roman" w:cs="Times New Roman"/>
                <w:i/>
                <w:color w:val="2A2A2A"/>
                <w:sz w:val="24"/>
                <w:szCs w:val="24"/>
              </w:rPr>
            </w:pPr>
            <w:r w:rsidRPr="00CE54A1">
              <w:rPr>
                <w:rFonts w:ascii="Times New Roman" w:hAnsi="Times New Roman" w:cs="Times New Roman"/>
                <w:i/>
                <w:color w:val="2A2A2A"/>
                <w:sz w:val="24"/>
                <w:szCs w:val="24"/>
              </w:rPr>
              <w:t>“</w:t>
            </w:r>
            <w:r w:rsidR="00CE54A1" w:rsidRPr="00CE54A1">
              <w:rPr>
                <w:rFonts w:ascii="Times New Roman" w:hAnsi="Times New Roman" w:cs="Times New Roman"/>
                <w:i/>
                <w:color w:val="2A2A2A"/>
                <w:sz w:val="24"/>
                <w:szCs w:val="24"/>
              </w:rPr>
              <w:t>Vale destacar alguns fatores que podem ser responsáveis por essa disparidade entre os saldos médios do Ativo Intangível dos clubes brasileiros e europeus. É importante ressaltar que grande parte dos clubes europeus são sociedades anônimas, com maior captação de recursos para contratações, como já foi discutido anteriormente, e atuam em ambiente econômico estratégico, por serem países de “primeiro mundo”. Não se pode deixar de citar a força do mercado de compra e venda de jogadores. O Brasil, apesar de ser conhecido como “celeiro do futebol mundial”, por revelar muitos atletas influentes e requisitados no mundo inteiro, não possui um mercado forte que consiga disputar com o mercado europeu.”</w:t>
            </w:r>
          </w:p>
          <w:p w:rsidR="00AA351E" w:rsidRPr="00CE54A1" w:rsidRDefault="00AA351E" w:rsidP="00CE54A1">
            <w:pPr>
              <w:pStyle w:val="PargrafodaLista"/>
              <w:spacing w:after="0" w:line="240" w:lineRule="auto"/>
              <w:jc w:val="both"/>
              <w:rPr>
                <w:rFonts w:ascii="Times New Roman" w:hAnsi="Times New Roman" w:cs="Times New Roman"/>
                <w:i/>
                <w:color w:val="2A2A2A"/>
                <w:sz w:val="24"/>
                <w:szCs w:val="24"/>
              </w:rPr>
            </w:pPr>
            <w:r w:rsidRPr="00CE54A1">
              <w:rPr>
                <w:rFonts w:ascii="Times New Roman" w:hAnsi="Times New Roman" w:cs="Times New Roman"/>
                <w:i/>
                <w:color w:val="2A2A2A"/>
                <w:sz w:val="24"/>
                <w:szCs w:val="24"/>
              </w:rPr>
              <w:t>“</w:t>
            </w:r>
            <w:r w:rsidR="00CE54A1" w:rsidRPr="00CE54A1">
              <w:rPr>
                <w:rFonts w:ascii="Times New Roman" w:hAnsi="Times New Roman" w:cs="Times New Roman"/>
                <w:i/>
                <w:color w:val="2A2A2A"/>
                <w:sz w:val="24"/>
                <w:szCs w:val="24"/>
              </w:rPr>
              <w:t>Observe que os clubes europeus não divulgam separadamente informações sobre Atletas contratados e sobre Atletas formados, diferentemente do Brasil que tem legislação específica, como a ITG 2003.</w:t>
            </w:r>
            <w:r w:rsidR="00CE54A1">
              <w:rPr>
                <w:rFonts w:ascii="Times New Roman" w:hAnsi="Times New Roman" w:cs="Times New Roman"/>
                <w:i/>
                <w:color w:val="2A2A2A"/>
                <w:sz w:val="24"/>
                <w:szCs w:val="24"/>
              </w:rPr>
              <w:t>”</w:t>
            </w:r>
          </w:p>
        </w:tc>
      </w:tr>
    </w:tbl>
    <w:p w:rsidR="003C0FD9" w:rsidRPr="00C1334D" w:rsidRDefault="003C0FD9" w:rsidP="003C0FD9">
      <w:pPr>
        <w:spacing w:after="120" w:line="240" w:lineRule="auto"/>
        <w:jc w:val="both"/>
        <w:rPr>
          <w:rFonts w:ascii="Times New Roman" w:hAnsi="Times New Roman" w:cs="Times New Roman"/>
          <w:color w:val="2A2A2A"/>
          <w:sz w:val="12"/>
          <w:szCs w:val="12"/>
        </w:rPr>
      </w:pPr>
    </w:p>
    <w:p w:rsidR="00023A3D" w:rsidRPr="00C1334D" w:rsidRDefault="00C1334D" w:rsidP="00023A3D">
      <w:pPr>
        <w:spacing w:after="120" w:line="240" w:lineRule="auto"/>
        <w:jc w:val="both"/>
        <w:rPr>
          <w:rFonts w:ascii="Times New Roman" w:hAnsi="Times New Roman" w:cs="Times New Roman"/>
          <w:b/>
          <w:i/>
          <w:color w:val="2A2A2A"/>
          <w:sz w:val="24"/>
          <w:szCs w:val="24"/>
        </w:rPr>
      </w:pPr>
      <w:r>
        <w:rPr>
          <w:rFonts w:ascii="Times New Roman" w:hAnsi="Times New Roman" w:cs="Times New Roman"/>
          <w:i/>
          <w:color w:val="2A2A2A"/>
          <w:sz w:val="24"/>
          <w:szCs w:val="24"/>
        </w:rPr>
        <w:t xml:space="preserve">17) </w:t>
      </w:r>
      <w:r w:rsidR="00023A3D" w:rsidRPr="00023A3D">
        <w:rPr>
          <w:rFonts w:ascii="Times New Roman" w:hAnsi="Times New Roman" w:cs="Times New Roman"/>
          <w:i/>
          <w:color w:val="2A2A2A"/>
          <w:sz w:val="24"/>
          <w:szCs w:val="24"/>
        </w:rPr>
        <w:t>Se destaca o Brasil como “celeiro do futebol”, mas em termos de valores</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absolutos isso não se confirma (US$91MM contra US$85 MM). Assim, é preciso</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uma visão mais crítica do próprio esporte no sentido de que se investe</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relativamente pouco na formação de atletas.</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223793" w:rsidRPr="00403F48" w:rsidTr="00BC0791">
        <w:trPr>
          <w:trHeight w:val="236"/>
        </w:trPr>
        <w:tc>
          <w:tcPr>
            <w:tcW w:w="9706" w:type="dxa"/>
          </w:tcPr>
          <w:p w:rsidR="00223793" w:rsidRPr="004E18C4" w:rsidRDefault="00223793" w:rsidP="00BC0791">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t>Comentário</w:t>
            </w:r>
          </w:p>
        </w:tc>
      </w:tr>
      <w:tr w:rsidR="00223793" w:rsidRPr="00403F48" w:rsidTr="00BC0791">
        <w:trPr>
          <w:trHeight w:val="295"/>
        </w:trPr>
        <w:tc>
          <w:tcPr>
            <w:tcW w:w="9706" w:type="dxa"/>
          </w:tcPr>
          <w:p w:rsidR="00223793" w:rsidRPr="004E18C4" w:rsidRDefault="006A6AF8" w:rsidP="00745774">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color w:val="2A2A2A"/>
                <w:sz w:val="24"/>
                <w:szCs w:val="24"/>
              </w:rPr>
              <w:t>Na pág. 16 f</w:t>
            </w:r>
            <w:r w:rsidR="00223793" w:rsidRPr="008804B3">
              <w:rPr>
                <w:rFonts w:ascii="Times New Roman" w:hAnsi="Times New Roman" w:cs="Times New Roman"/>
                <w:color w:val="2A2A2A"/>
                <w:sz w:val="24"/>
                <w:szCs w:val="24"/>
              </w:rPr>
              <w:t xml:space="preserve">oi incluído </w:t>
            </w:r>
            <w:r w:rsidR="00BC684E">
              <w:rPr>
                <w:rFonts w:ascii="Times New Roman" w:hAnsi="Times New Roman" w:cs="Times New Roman"/>
                <w:color w:val="2A2A2A"/>
                <w:sz w:val="24"/>
                <w:szCs w:val="24"/>
              </w:rPr>
              <w:t xml:space="preserve">o seguinte </w:t>
            </w:r>
            <w:r w:rsidR="00223793" w:rsidRPr="008804B3">
              <w:rPr>
                <w:rFonts w:ascii="Times New Roman" w:hAnsi="Times New Roman" w:cs="Times New Roman"/>
                <w:color w:val="2A2A2A"/>
                <w:sz w:val="24"/>
                <w:szCs w:val="24"/>
              </w:rPr>
              <w:t>parágrafo</w:t>
            </w:r>
            <w:r w:rsidR="00223793">
              <w:rPr>
                <w:rFonts w:ascii="Times New Roman" w:hAnsi="Times New Roman" w:cs="Times New Roman"/>
                <w:color w:val="2A2A2A"/>
                <w:sz w:val="24"/>
                <w:szCs w:val="24"/>
              </w:rPr>
              <w:t>:</w:t>
            </w:r>
            <w:r w:rsidR="00223793" w:rsidRPr="00A6156C">
              <w:rPr>
                <w:rFonts w:ascii="Times New Roman" w:hAnsi="Times New Roman" w:cs="Times New Roman"/>
                <w:color w:val="2A2A2A"/>
                <w:sz w:val="24"/>
                <w:szCs w:val="24"/>
              </w:rPr>
              <w:t xml:space="preserve"> </w:t>
            </w:r>
            <w:r w:rsidR="00745774">
              <w:rPr>
                <w:rFonts w:ascii="Times New Roman" w:hAnsi="Times New Roman" w:cs="Times New Roman"/>
                <w:color w:val="2A2A2A"/>
                <w:sz w:val="24"/>
                <w:szCs w:val="24"/>
              </w:rPr>
              <w:t>“</w:t>
            </w:r>
            <w:r w:rsidRPr="006A6AF8">
              <w:rPr>
                <w:rFonts w:ascii="Times New Roman" w:hAnsi="Times New Roman"/>
                <w:i/>
                <w:sz w:val="24"/>
                <w:szCs w:val="24"/>
              </w:rPr>
              <w:t>É importante mencionar que as informações evidenciadas na Tabela 5 contrariam o destaque do Brasil como “celeiro do futebol mundial” já que, em 2011, os clubes europeus investiram, em termos de valores absolutos, aproximadamente US$ 92 milhões, contra pouco mais de US$ 85 milhões investidos pelos clubes brasileiros no mesmo ano. Contudo, é preciso uma visão mais crítica do próprio esporte no sentido de que se investe relativamente pouco na formação de atletas pelos clubes brasileiros.</w:t>
            </w:r>
            <w:r w:rsidRPr="006A6AF8">
              <w:rPr>
                <w:rFonts w:ascii="Times New Roman" w:hAnsi="Times New Roman"/>
                <w:i/>
                <w:sz w:val="24"/>
                <w:szCs w:val="24"/>
              </w:rPr>
              <w:t>”</w:t>
            </w:r>
          </w:p>
        </w:tc>
      </w:tr>
    </w:tbl>
    <w:p w:rsidR="003C0FD9" w:rsidRPr="008804B3" w:rsidRDefault="003C0FD9">
      <w:pPr>
        <w:spacing w:after="120" w:line="240" w:lineRule="auto"/>
        <w:jc w:val="both"/>
        <w:rPr>
          <w:rFonts w:ascii="Times New Roman" w:hAnsi="Times New Roman" w:cs="Times New Roman"/>
          <w:i/>
          <w:color w:val="2A2A2A"/>
          <w:sz w:val="24"/>
          <w:szCs w:val="24"/>
        </w:rPr>
      </w:pPr>
    </w:p>
    <w:p w:rsidR="00023A3D" w:rsidRPr="00745774" w:rsidRDefault="00745774" w:rsidP="00023A3D">
      <w:pPr>
        <w:spacing w:after="120" w:line="240" w:lineRule="auto"/>
        <w:jc w:val="both"/>
        <w:rPr>
          <w:rFonts w:ascii="Times New Roman" w:hAnsi="Times New Roman" w:cs="Times New Roman"/>
          <w:b/>
          <w:i/>
          <w:color w:val="2A2A2A"/>
          <w:sz w:val="24"/>
          <w:szCs w:val="24"/>
        </w:rPr>
      </w:pPr>
      <w:r>
        <w:rPr>
          <w:rFonts w:ascii="Times New Roman" w:hAnsi="Times New Roman" w:cs="Times New Roman"/>
          <w:i/>
          <w:color w:val="2A2A2A"/>
          <w:sz w:val="24"/>
          <w:szCs w:val="24"/>
        </w:rPr>
        <w:lastRenderedPageBreak/>
        <w:t xml:space="preserve">18) </w:t>
      </w:r>
      <w:r w:rsidR="00023A3D" w:rsidRPr="00023A3D">
        <w:rPr>
          <w:rFonts w:ascii="Times New Roman" w:hAnsi="Times New Roman" w:cs="Times New Roman"/>
          <w:i/>
          <w:color w:val="2A2A2A"/>
          <w:sz w:val="24"/>
          <w:szCs w:val="24"/>
        </w:rPr>
        <w:t>Na pág. 14, quando se referencia Tabela 4, acredito ser Tabela 5.</w:t>
      </w:r>
      <w:r w:rsidR="00023A3D">
        <w:rPr>
          <w:rFonts w:ascii="Times New Roman" w:hAnsi="Times New Roman" w:cs="Times New Roman"/>
          <w:i/>
          <w:color w:val="2A2A2A"/>
          <w:sz w:val="24"/>
          <w:szCs w:val="24"/>
        </w:rPr>
        <w:t xml:space="preserve"> </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745774" w:rsidRPr="00403F48" w:rsidTr="00BC0791">
        <w:trPr>
          <w:trHeight w:val="236"/>
        </w:trPr>
        <w:tc>
          <w:tcPr>
            <w:tcW w:w="9706" w:type="dxa"/>
          </w:tcPr>
          <w:p w:rsidR="00745774" w:rsidRPr="004E18C4" w:rsidRDefault="00745774" w:rsidP="00BC0791">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t>Comentário</w:t>
            </w:r>
          </w:p>
        </w:tc>
      </w:tr>
      <w:tr w:rsidR="00745774" w:rsidRPr="00403F48" w:rsidTr="00BC0791">
        <w:trPr>
          <w:trHeight w:val="295"/>
        </w:trPr>
        <w:tc>
          <w:tcPr>
            <w:tcW w:w="9706" w:type="dxa"/>
          </w:tcPr>
          <w:p w:rsidR="00745774" w:rsidRPr="00745774" w:rsidRDefault="00745774" w:rsidP="00745774">
            <w:pPr>
              <w:spacing w:after="0" w:line="240" w:lineRule="auto"/>
              <w:rPr>
                <w:rFonts w:ascii="Times New Roman" w:hAnsi="Times New Roman" w:cs="Times New Roman"/>
                <w:color w:val="2A2A2A"/>
                <w:sz w:val="24"/>
                <w:szCs w:val="24"/>
              </w:rPr>
            </w:pPr>
            <w:r w:rsidRPr="00745774">
              <w:rPr>
                <w:rFonts w:ascii="Times New Roman" w:hAnsi="Times New Roman" w:cs="Times New Roman"/>
                <w:color w:val="2A2A2A"/>
                <w:sz w:val="24"/>
                <w:szCs w:val="24"/>
              </w:rPr>
              <w:t>Alteração da nomenclatura realizada, conforme solicitado.</w:t>
            </w:r>
          </w:p>
        </w:tc>
      </w:tr>
    </w:tbl>
    <w:p w:rsidR="00745774" w:rsidRPr="00745774" w:rsidRDefault="00745774" w:rsidP="00023A3D">
      <w:pPr>
        <w:spacing w:after="120" w:line="240" w:lineRule="auto"/>
        <w:jc w:val="both"/>
        <w:rPr>
          <w:rFonts w:ascii="Times New Roman" w:hAnsi="Times New Roman" w:cs="Times New Roman"/>
          <w:i/>
          <w:color w:val="2A2A2A"/>
          <w:sz w:val="12"/>
          <w:szCs w:val="12"/>
        </w:rPr>
      </w:pPr>
    </w:p>
    <w:p w:rsidR="006B4011" w:rsidRPr="00745774" w:rsidRDefault="00745774" w:rsidP="00023A3D">
      <w:pPr>
        <w:spacing w:after="120" w:line="240" w:lineRule="auto"/>
        <w:jc w:val="both"/>
        <w:rPr>
          <w:rFonts w:ascii="Times New Roman" w:hAnsi="Times New Roman" w:cs="Times New Roman"/>
          <w:b/>
          <w:i/>
          <w:color w:val="2A2A2A"/>
          <w:sz w:val="24"/>
          <w:szCs w:val="24"/>
        </w:rPr>
      </w:pPr>
      <w:r>
        <w:rPr>
          <w:rFonts w:ascii="Times New Roman" w:hAnsi="Times New Roman" w:cs="Times New Roman"/>
          <w:i/>
          <w:color w:val="2A2A2A"/>
          <w:sz w:val="24"/>
          <w:szCs w:val="24"/>
        </w:rPr>
        <w:t>19)</w:t>
      </w:r>
      <w:r w:rsidR="00017ACF">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Por fim, é preciso melhor especificar a lacuna existente na literatura e</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como o trabalho contribui para sanar essa lacuna.</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745774" w:rsidRPr="00403F48" w:rsidTr="00BC0791">
        <w:trPr>
          <w:trHeight w:val="236"/>
        </w:trPr>
        <w:tc>
          <w:tcPr>
            <w:tcW w:w="9706" w:type="dxa"/>
          </w:tcPr>
          <w:p w:rsidR="00745774" w:rsidRPr="004E18C4" w:rsidRDefault="00745774" w:rsidP="00BC0791">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t>Comentário</w:t>
            </w:r>
          </w:p>
        </w:tc>
      </w:tr>
      <w:tr w:rsidR="00745774" w:rsidRPr="00403F48" w:rsidTr="00BC0791">
        <w:trPr>
          <w:trHeight w:val="295"/>
        </w:trPr>
        <w:tc>
          <w:tcPr>
            <w:tcW w:w="9706" w:type="dxa"/>
          </w:tcPr>
          <w:p w:rsidR="00745774" w:rsidRPr="00745774" w:rsidRDefault="00586A95" w:rsidP="00586A95">
            <w:pPr>
              <w:spacing w:after="0" w:line="240" w:lineRule="auto"/>
              <w:rPr>
                <w:rFonts w:ascii="Times New Roman" w:hAnsi="Times New Roman" w:cs="Times New Roman"/>
                <w:color w:val="2A2A2A"/>
                <w:sz w:val="24"/>
                <w:szCs w:val="24"/>
              </w:rPr>
            </w:pPr>
            <w:r>
              <w:rPr>
                <w:rFonts w:ascii="Times New Roman" w:hAnsi="Times New Roman" w:cs="Times New Roman"/>
                <w:color w:val="2A2A2A"/>
                <w:sz w:val="24"/>
                <w:szCs w:val="24"/>
              </w:rPr>
              <w:t>Foi ressaltado no final da Introdução o diferencial do estudo e no final das Considerações Finais apresentado a lacuna e sugestões para futuras pesquisas.</w:t>
            </w:r>
          </w:p>
        </w:tc>
      </w:tr>
    </w:tbl>
    <w:p w:rsidR="006B4011" w:rsidRPr="00FD04A6" w:rsidRDefault="006B4011" w:rsidP="006B4011">
      <w:pPr>
        <w:spacing w:after="120" w:line="240" w:lineRule="auto"/>
        <w:jc w:val="both"/>
        <w:rPr>
          <w:rFonts w:ascii="Times New Roman" w:hAnsi="Times New Roman" w:cs="Times New Roman"/>
          <w:b/>
          <w:sz w:val="8"/>
          <w:szCs w:val="8"/>
        </w:rPr>
      </w:pPr>
    </w:p>
    <w:p w:rsidR="006B4011" w:rsidRPr="009A2A19" w:rsidRDefault="006B4011" w:rsidP="006B4011">
      <w:pPr>
        <w:spacing w:after="120" w:line="240" w:lineRule="auto"/>
        <w:jc w:val="both"/>
        <w:rPr>
          <w:rFonts w:ascii="Times New Roman" w:hAnsi="Times New Roman" w:cs="Times New Roman"/>
          <w:b/>
          <w:i/>
          <w:sz w:val="24"/>
          <w:szCs w:val="24"/>
        </w:rPr>
      </w:pPr>
      <w:r w:rsidRPr="009A2A19">
        <w:rPr>
          <w:rFonts w:ascii="Times New Roman" w:hAnsi="Times New Roman" w:cs="Times New Roman"/>
          <w:b/>
          <w:i/>
          <w:sz w:val="24"/>
          <w:szCs w:val="24"/>
        </w:rPr>
        <w:t xml:space="preserve">Sugestões para melhoria quanto à forma (estrutura, linguagem, legibilidade) </w:t>
      </w:r>
    </w:p>
    <w:p w:rsidR="00023A3D" w:rsidRPr="00586A95" w:rsidRDefault="00586A95" w:rsidP="00A45D6E">
      <w:pPr>
        <w:spacing w:after="120" w:line="240" w:lineRule="auto"/>
        <w:jc w:val="both"/>
        <w:rPr>
          <w:rFonts w:ascii="Times New Roman" w:hAnsi="Times New Roman" w:cs="Times New Roman"/>
          <w:b/>
          <w:i/>
          <w:color w:val="2A2A2A"/>
          <w:sz w:val="24"/>
          <w:szCs w:val="24"/>
        </w:rPr>
      </w:pPr>
      <w:r>
        <w:rPr>
          <w:rFonts w:ascii="Times New Roman" w:hAnsi="Times New Roman" w:cs="Times New Roman"/>
          <w:i/>
          <w:color w:val="2A2A2A"/>
          <w:sz w:val="24"/>
          <w:szCs w:val="24"/>
        </w:rPr>
        <w:t xml:space="preserve">20) </w:t>
      </w:r>
      <w:r w:rsidR="00023A3D" w:rsidRPr="00023A3D">
        <w:rPr>
          <w:rFonts w:ascii="Times New Roman" w:hAnsi="Times New Roman" w:cs="Times New Roman"/>
          <w:i/>
          <w:color w:val="2A2A2A"/>
          <w:sz w:val="24"/>
          <w:szCs w:val="24"/>
        </w:rPr>
        <w:t>É necessário uma revisão geral do texto quanto a questões gramaticas.</w:t>
      </w:r>
      <w:r w:rsidR="00023A3D">
        <w:rPr>
          <w:rFonts w:ascii="Times New Roman" w:hAnsi="Times New Roman" w:cs="Times New Roman"/>
          <w:i/>
          <w:color w:val="2A2A2A"/>
          <w:sz w:val="24"/>
          <w:szCs w:val="24"/>
        </w:rPr>
        <w:t xml:space="preserve"> </w:t>
      </w:r>
      <w:r w:rsidR="00023A3D" w:rsidRPr="00023A3D">
        <w:rPr>
          <w:rFonts w:ascii="Times New Roman" w:hAnsi="Times New Roman" w:cs="Times New Roman"/>
          <w:i/>
          <w:color w:val="2A2A2A"/>
          <w:sz w:val="24"/>
          <w:szCs w:val="24"/>
        </w:rPr>
        <w:t>Demais informações foram relatadas no item anterior.</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6"/>
      </w:tblGrid>
      <w:tr w:rsidR="00586A95" w:rsidRPr="00403F48" w:rsidTr="00BC0791">
        <w:trPr>
          <w:trHeight w:val="236"/>
        </w:trPr>
        <w:tc>
          <w:tcPr>
            <w:tcW w:w="9706" w:type="dxa"/>
          </w:tcPr>
          <w:p w:rsidR="00586A95" w:rsidRPr="004E18C4" w:rsidRDefault="00586A95" w:rsidP="00BC0791">
            <w:pPr>
              <w:spacing w:after="120" w:line="240" w:lineRule="auto"/>
              <w:jc w:val="center"/>
              <w:rPr>
                <w:rFonts w:ascii="Times New Roman" w:hAnsi="Times New Roman" w:cs="Times New Roman"/>
                <w:b/>
                <w:sz w:val="24"/>
                <w:szCs w:val="24"/>
              </w:rPr>
            </w:pPr>
            <w:r w:rsidRPr="004E18C4">
              <w:rPr>
                <w:rFonts w:ascii="Times New Roman" w:hAnsi="Times New Roman" w:cs="Times New Roman"/>
                <w:b/>
                <w:sz w:val="24"/>
                <w:szCs w:val="24"/>
              </w:rPr>
              <w:t>Comentário</w:t>
            </w:r>
          </w:p>
        </w:tc>
      </w:tr>
      <w:tr w:rsidR="00586A95" w:rsidRPr="00403F48" w:rsidTr="00BC0791">
        <w:trPr>
          <w:trHeight w:val="295"/>
        </w:trPr>
        <w:tc>
          <w:tcPr>
            <w:tcW w:w="9706" w:type="dxa"/>
          </w:tcPr>
          <w:p w:rsidR="00586A95" w:rsidRPr="00745774" w:rsidRDefault="00586A95" w:rsidP="00586A95">
            <w:pPr>
              <w:spacing w:after="0" w:line="240" w:lineRule="auto"/>
              <w:rPr>
                <w:rFonts w:ascii="Times New Roman" w:hAnsi="Times New Roman" w:cs="Times New Roman"/>
                <w:color w:val="2A2A2A"/>
                <w:sz w:val="24"/>
                <w:szCs w:val="24"/>
              </w:rPr>
            </w:pPr>
            <w:r w:rsidRPr="00586A95">
              <w:rPr>
                <w:rFonts w:ascii="Times New Roman" w:hAnsi="Times New Roman" w:cs="Times New Roman"/>
                <w:color w:val="2A2A2A"/>
                <w:sz w:val="24"/>
                <w:szCs w:val="24"/>
              </w:rPr>
              <w:t>Revisão realizada, conforme solicitado.</w:t>
            </w:r>
          </w:p>
        </w:tc>
      </w:tr>
    </w:tbl>
    <w:p w:rsidR="00023A3D" w:rsidRDefault="00023A3D" w:rsidP="006B4011">
      <w:pPr>
        <w:jc w:val="both"/>
        <w:rPr>
          <w:rFonts w:ascii="Times New Roman" w:hAnsi="Times New Roman" w:cs="Times New Roman"/>
          <w:i/>
          <w:color w:val="2A2A2A"/>
          <w:sz w:val="24"/>
          <w:szCs w:val="24"/>
        </w:rPr>
      </w:pPr>
    </w:p>
    <w:p w:rsidR="006B4011" w:rsidRPr="00656D56" w:rsidRDefault="006B4011" w:rsidP="006B4011">
      <w:pPr>
        <w:jc w:val="both"/>
        <w:rPr>
          <w:rFonts w:ascii="Times New Roman" w:hAnsi="Times New Roman" w:cs="Times New Roman"/>
          <w:sz w:val="24"/>
          <w:szCs w:val="24"/>
        </w:rPr>
      </w:pPr>
      <w:r w:rsidRPr="00656D56">
        <w:rPr>
          <w:rFonts w:ascii="Times New Roman" w:hAnsi="Times New Roman" w:cs="Times New Roman"/>
          <w:sz w:val="24"/>
          <w:szCs w:val="24"/>
        </w:rPr>
        <w:t>Finalmente, cumpre observar que as autoras agradecem as considerações feitas, e se sentiram motivados a aprimorar o artigo, fazendo as alterações sugeridas e ampliando o espectro das reflexões, como poderá ser comprovado na versão ora apresentada.</w:t>
      </w:r>
    </w:p>
    <w:p w:rsidR="006B4011" w:rsidRPr="000F7251" w:rsidRDefault="006B4011" w:rsidP="006B4011">
      <w:pPr>
        <w:jc w:val="both"/>
        <w:rPr>
          <w:rFonts w:ascii="Times New Roman" w:hAnsi="Times New Roman" w:cs="Times New Roman"/>
          <w:sz w:val="24"/>
          <w:szCs w:val="24"/>
        </w:rPr>
      </w:pPr>
      <w:r w:rsidRPr="000F7251">
        <w:rPr>
          <w:rFonts w:ascii="Times New Roman" w:hAnsi="Times New Roman" w:cs="Times New Roman"/>
          <w:sz w:val="24"/>
          <w:szCs w:val="24"/>
        </w:rPr>
        <w:t xml:space="preserve">Atenciosamente, </w:t>
      </w:r>
    </w:p>
    <w:p w:rsidR="008804B3" w:rsidRPr="00FD04A6" w:rsidRDefault="006B4011" w:rsidP="00FD04A6">
      <w:pPr>
        <w:jc w:val="both"/>
        <w:rPr>
          <w:rFonts w:ascii="Times New Roman" w:hAnsi="Times New Roman" w:cs="Times New Roman"/>
          <w:sz w:val="24"/>
          <w:szCs w:val="24"/>
        </w:rPr>
      </w:pPr>
      <w:r>
        <w:rPr>
          <w:rFonts w:ascii="Times New Roman" w:hAnsi="Times New Roman" w:cs="Times New Roman"/>
          <w:sz w:val="24"/>
          <w:szCs w:val="24"/>
        </w:rPr>
        <w:t>A</w:t>
      </w:r>
      <w:r w:rsidRPr="000F7251">
        <w:rPr>
          <w:rFonts w:ascii="Times New Roman" w:hAnsi="Times New Roman" w:cs="Times New Roman"/>
          <w:sz w:val="24"/>
          <w:szCs w:val="24"/>
        </w:rPr>
        <w:t>s autor</w:t>
      </w:r>
      <w:r>
        <w:rPr>
          <w:rFonts w:ascii="Times New Roman" w:hAnsi="Times New Roman" w:cs="Times New Roman"/>
          <w:sz w:val="24"/>
          <w:szCs w:val="24"/>
        </w:rPr>
        <w:t>a</w:t>
      </w:r>
      <w:r w:rsidRPr="000F7251">
        <w:rPr>
          <w:rFonts w:ascii="Times New Roman" w:hAnsi="Times New Roman" w:cs="Times New Roman"/>
          <w:sz w:val="24"/>
          <w:szCs w:val="24"/>
        </w:rPr>
        <w:t>s.</w:t>
      </w:r>
    </w:p>
    <w:sectPr w:rsidR="008804B3" w:rsidRPr="00FD04A6" w:rsidSect="007D5EBB">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FD4" w:rsidRDefault="00963FD4" w:rsidP="001F19C1">
      <w:pPr>
        <w:spacing w:after="0" w:line="240" w:lineRule="auto"/>
      </w:pPr>
      <w:r>
        <w:separator/>
      </w:r>
    </w:p>
  </w:endnote>
  <w:endnote w:type="continuationSeparator" w:id="0">
    <w:p w:rsidR="00963FD4" w:rsidRDefault="00963FD4" w:rsidP="001F1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C1" w:rsidRDefault="001F19C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C1" w:rsidRDefault="001F19C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C1" w:rsidRDefault="001F19C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FD4" w:rsidRDefault="00963FD4" w:rsidP="001F19C1">
      <w:pPr>
        <w:spacing w:after="0" w:line="240" w:lineRule="auto"/>
      </w:pPr>
      <w:r>
        <w:separator/>
      </w:r>
    </w:p>
  </w:footnote>
  <w:footnote w:type="continuationSeparator" w:id="0">
    <w:p w:rsidR="00963FD4" w:rsidRDefault="00963FD4" w:rsidP="001F19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C1" w:rsidRDefault="001F19C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C1" w:rsidRDefault="001F19C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C1" w:rsidRDefault="001F19C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A243D"/>
    <w:multiLevelType w:val="hybridMultilevel"/>
    <w:tmpl w:val="29B6A9BA"/>
    <w:lvl w:ilvl="0" w:tplc="32844332">
      <w:start w:val="1"/>
      <w:numFmt w:val="bullet"/>
      <w:lvlText w:val="-"/>
      <w:lvlJc w:val="left"/>
      <w:pPr>
        <w:ind w:left="1080" w:hanging="360"/>
      </w:pPr>
      <w:rPr>
        <w:rFonts w:ascii="Times New Roman" w:eastAsiaTheme="minorHAnsi" w:hAnsi="Times New Roman"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66883543"/>
    <w:multiLevelType w:val="hybridMultilevel"/>
    <w:tmpl w:val="742089B8"/>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516872"/>
    <w:multiLevelType w:val="hybridMultilevel"/>
    <w:tmpl w:val="2BA6CA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ADB6907"/>
    <w:multiLevelType w:val="hybridMultilevel"/>
    <w:tmpl w:val="F782FCE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DC6601E"/>
    <w:multiLevelType w:val="hybridMultilevel"/>
    <w:tmpl w:val="61E63368"/>
    <w:lvl w:ilvl="0" w:tplc="0416000D">
      <w:start w:val="1"/>
      <w:numFmt w:val="bullet"/>
      <w:lvlText w:val=""/>
      <w:lvlJc w:val="left"/>
      <w:pPr>
        <w:ind w:left="2628" w:hanging="360"/>
      </w:pPr>
      <w:rPr>
        <w:rFonts w:ascii="Wingdings" w:hAnsi="Wingdings"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EBB"/>
    <w:rsid w:val="00012F8F"/>
    <w:rsid w:val="00017ACF"/>
    <w:rsid w:val="00023A3D"/>
    <w:rsid w:val="0002580A"/>
    <w:rsid w:val="00066EE8"/>
    <w:rsid w:val="00077C85"/>
    <w:rsid w:val="000A4224"/>
    <w:rsid w:val="000A4669"/>
    <w:rsid w:val="000B0A54"/>
    <w:rsid w:val="00125DC2"/>
    <w:rsid w:val="00153242"/>
    <w:rsid w:val="00153494"/>
    <w:rsid w:val="001614CF"/>
    <w:rsid w:val="00185B20"/>
    <w:rsid w:val="001D765A"/>
    <w:rsid w:val="001F19C1"/>
    <w:rsid w:val="001F48C2"/>
    <w:rsid w:val="001F7120"/>
    <w:rsid w:val="00223793"/>
    <w:rsid w:val="00262848"/>
    <w:rsid w:val="002A60CB"/>
    <w:rsid w:val="002B01AB"/>
    <w:rsid w:val="002B16EB"/>
    <w:rsid w:val="002B7798"/>
    <w:rsid w:val="002D356E"/>
    <w:rsid w:val="00302B95"/>
    <w:rsid w:val="0030478F"/>
    <w:rsid w:val="003235BC"/>
    <w:rsid w:val="00331FC1"/>
    <w:rsid w:val="003765B2"/>
    <w:rsid w:val="00380217"/>
    <w:rsid w:val="00386802"/>
    <w:rsid w:val="00387A4A"/>
    <w:rsid w:val="003C0FD9"/>
    <w:rsid w:val="003C566E"/>
    <w:rsid w:val="00412B4C"/>
    <w:rsid w:val="00425C2E"/>
    <w:rsid w:val="00430F5E"/>
    <w:rsid w:val="00452F0F"/>
    <w:rsid w:val="00467B6A"/>
    <w:rsid w:val="00484722"/>
    <w:rsid w:val="004A0C00"/>
    <w:rsid w:val="004D517D"/>
    <w:rsid w:val="004F1E49"/>
    <w:rsid w:val="005327D0"/>
    <w:rsid w:val="00586A95"/>
    <w:rsid w:val="005924AF"/>
    <w:rsid w:val="00594EB0"/>
    <w:rsid w:val="005B255F"/>
    <w:rsid w:val="005B75CE"/>
    <w:rsid w:val="005D1F2C"/>
    <w:rsid w:val="005E1FCE"/>
    <w:rsid w:val="00615E23"/>
    <w:rsid w:val="00645A5B"/>
    <w:rsid w:val="00666F5C"/>
    <w:rsid w:val="006A1554"/>
    <w:rsid w:val="006A6AF8"/>
    <w:rsid w:val="006A6D8B"/>
    <w:rsid w:val="006B4011"/>
    <w:rsid w:val="006B4D84"/>
    <w:rsid w:val="006D5195"/>
    <w:rsid w:val="006D7C1D"/>
    <w:rsid w:val="007011CD"/>
    <w:rsid w:val="00715731"/>
    <w:rsid w:val="00741396"/>
    <w:rsid w:val="00745774"/>
    <w:rsid w:val="007B7581"/>
    <w:rsid w:val="007D21F9"/>
    <w:rsid w:val="007D5EBB"/>
    <w:rsid w:val="007E2B4A"/>
    <w:rsid w:val="007E380E"/>
    <w:rsid w:val="007F09E8"/>
    <w:rsid w:val="00863535"/>
    <w:rsid w:val="008804B3"/>
    <w:rsid w:val="008C3682"/>
    <w:rsid w:val="008D55E2"/>
    <w:rsid w:val="008F405F"/>
    <w:rsid w:val="009016ED"/>
    <w:rsid w:val="00957470"/>
    <w:rsid w:val="00963FD4"/>
    <w:rsid w:val="00970543"/>
    <w:rsid w:val="00983978"/>
    <w:rsid w:val="009D2AA5"/>
    <w:rsid w:val="00A0590A"/>
    <w:rsid w:val="00A06B8B"/>
    <w:rsid w:val="00A326C4"/>
    <w:rsid w:val="00A35236"/>
    <w:rsid w:val="00A45D6E"/>
    <w:rsid w:val="00A6156C"/>
    <w:rsid w:val="00A646CB"/>
    <w:rsid w:val="00A65F55"/>
    <w:rsid w:val="00AA351E"/>
    <w:rsid w:val="00AB0A09"/>
    <w:rsid w:val="00AC619A"/>
    <w:rsid w:val="00AD4BEE"/>
    <w:rsid w:val="00AD4E0D"/>
    <w:rsid w:val="00AE10FF"/>
    <w:rsid w:val="00AE208B"/>
    <w:rsid w:val="00AE267A"/>
    <w:rsid w:val="00B01DE1"/>
    <w:rsid w:val="00B05441"/>
    <w:rsid w:val="00B25209"/>
    <w:rsid w:val="00B92563"/>
    <w:rsid w:val="00BB0D6C"/>
    <w:rsid w:val="00BB13EF"/>
    <w:rsid w:val="00BB6482"/>
    <w:rsid w:val="00BC684E"/>
    <w:rsid w:val="00C1334D"/>
    <w:rsid w:val="00C17DEA"/>
    <w:rsid w:val="00CB21F7"/>
    <w:rsid w:val="00CC63D4"/>
    <w:rsid w:val="00CD1D3E"/>
    <w:rsid w:val="00CD6F87"/>
    <w:rsid w:val="00CE54A1"/>
    <w:rsid w:val="00D20721"/>
    <w:rsid w:val="00D27FE5"/>
    <w:rsid w:val="00D5649D"/>
    <w:rsid w:val="00D57C99"/>
    <w:rsid w:val="00DB62CF"/>
    <w:rsid w:val="00DD4D1C"/>
    <w:rsid w:val="00DD6798"/>
    <w:rsid w:val="00DE0997"/>
    <w:rsid w:val="00E07775"/>
    <w:rsid w:val="00E22DE4"/>
    <w:rsid w:val="00E27C08"/>
    <w:rsid w:val="00E6145A"/>
    <w:rsid w:val="00E8591E"/>
    <w:rsid w:val="00EA6C06"/>
    <w:rsid w:val="00EB5A75"/>
    <w:rsid w:val="00F30403"/>
    <w:rsid w:val="00F3384E"/>
    <w:rsid w:val="00FD04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D4D1C"/>
    <w:pPr>
      <w:ind w:left="720"/>
      <w:contextualSpacing/>
    </w:pPr>
  </w:style>
  <w:style w:type="table" w:styleId="Tabelacomgrade">
    <w:name w:val="Table Grid"/>
    <w:basedOn w:val="Tabelanormal"/>
    <w:rsid w:val="00594EB0"/>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A326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326C4"/>
    <w:rPr>
      <w:rFonts w:ascii="Segoe UI" w:hAnsi="Segoe UI" w:cs="Segoe UI"/>
      <w:sz w:val="18"/>
      <w:szCs w:val="18"/>
    </w:rPr>
  </w:style>
  <w:style w:type="paragraph" w:styleId="Cabealho">
    <w:name w:val="header"/>
    <w:basedOn w:val="Normal"/>
    <w:link w:val="CabealhoChar"/>
    <w:uiPriority w:val="99"/>
    <w:unhideWhenUsed/>
    <w:rsid w:val="001F19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19C1"/>
  </w:style>
  <w:style w:type="paragraph" w:styleId="Rodap">
    <w:name w:val="footer"/>
    <w:basedOn w:val="Normal"/>
    <w:link w:val="RodapChar"/>
    <w:uiPriority w:val="99"/>
    <w:unhideWhenUsed/>
    <w:rsid w:val="001F19C1"/>
    <w:pPr>
      <w:tabs>
        <w:tab w:val="center" w:pos="4252"/>
        <w:tab w:val="right" w:pos="8504"/>
      </w:tabs>
      <w:spacing w:after="0" w:line="240" w:lineRule="auto"/>
    </w:pPr>
  </w:style>
  <w:style w:type="character" w:customStyle="1" w:styleId="RodapChar">
    <w:name w:val="Rodapé Char"/>
    <w:basedOn w:val="Fontepargpadro"/>
    <w:link w:val="Rodap"/>
    <w:uiPriority w:val="99"/>
    <w:rsid w:val="001F1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2558</Words>
  <Characters>13815</Characters>
  <Application>Microsoft Office Word</Application>
  <DocSecurity>0</DocSecurity>
  <Lines>115</Lines>
  <Paragraphs>32</Paragraphs>
  <ScaleCrop>false</ScaleCrop>
  <Company/>
  <LinksUpToDate>false</LinksUpToDate>
  <CharactersWithSpaces>16341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2016-08-27T02:08:00Z</dcterms:created>
  <dcterms:modified xsi:type="dcterms:W3CDTF">2016-08-27T02:10:00Z</dcterms:modified>
</cp:coreProperties>
</file>